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64" w:type="dxa"/>
        <w:tblLook w:val="0000" w:firstRow="0" w:lastRow="0" w:firstColumn="0" w:lastColumn="0" w:noHBand="0" w:noVBand="0"/>
      </w:tblPr>
      <w:tblGrid>
        <w:gridCol w:w="3456"/>
        <w:gridCol w:w="4853"/>
        <w:gridCol w:w="619"/>
        <w:gridCol w:w="36"/>
      </w:tblGrid>
      <w:tr w:rsidR="007D2BDA" w:rsidRPr="007D7E0B" w14:paraId="572E8507" w14:textId="77777777" w:rsidTr="00A56C28">
        <w:trPr>
          <w:gridAfter w:val="1"/>
          <w:wAfter w:w="36" w:type="dxa"/>
        </w:trPr>
        <w:tc>
          <w:tcPr>
            <w:tcW w:w="8928" w:type="dxa"/>
            <w:gridSpan w:val="3"/>
            <w:tcBorders>
              <w:bottom w:val="single" w:sz="18" w:space="0" w:color="auto"/>
            </w:tcBorders>
          </w:tcPr>
          <w:p w14:paraId="6494C1E8" w14:textId="77777777" w:rsidR="007D2BDA" w:rsidRDefault="002667E7"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3CD1641" wp14:editId="1DDBBF7D">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39DFBBA5" w14:textId="77777777" w:rsidR="007D2BDA" w:rsidRDefault="007D2BDA" w:rsidP="00244120">
            <w:pPr>
              <w:pStyle w:val="Infotext"/>
              <w:rPr>
                <w:rFonts w:ascii="Arial Black" w:hAnsi="Arial Black" w:cs="Arial"/>
                <w:sz w:val="36"/>
                <w:szCs w:val="36"/>
              </w:rPr>
            </w:pPr>
          </w:p>
        </w:tc>
      </w:tr>
      <w:tr w:rsidR="002A2389" w14:paraId="6361BF6D" w14:textId="77777777" w:rsidTr="00A56C28">
        <w:tc>
          <w:tcPr>
            <w:tcW w:w="3456" w:type="dxa"/>
            <w:tcBorders>
              <w:bottom w:val="single" w:sz="18" w:space="0" w:color="auto"/>
            </w:tcBorders>
          </w:tcPr>
          <w:p w14:paraId="2EB24073"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075F4CA1" w14:textId="77777777" w:rsidR="002A2389" w:rsidRPr="00F92398" w:rsidRDefault="002A2389">
            <w:pPr>
              <w:pStyle w:val="Infotext"/>
              <w:rPr>
                <w:rFonts w:ascii="Arial Black" w:hAnsi="Arial Black" w:cs="Arial"/>
              </w:rPr>
            </w:pPr>
          </w:p>
        </w:tc>
        <w:tc>
          <w:tcPr>
            <w:tcW w:w="5508" w:type="dxa"/>
            <w:gridSpan w:val="3"/>
            <w:tcBorders>
              <w:bottom w:val="single" w:sz="18" w:space="0" w:color="auto"/>
            </w:tcBorders>
          </w:tcPr>
          <w:p w14:paraId="6E0B6F96" w14:textId="77777777" w:rsidR="002A2389" w:rsidRDefault="00903131" w:rsidP="00D32B51">
            <w:pPr>
              <w:pStyle w:val="Infotext"/>
              <w:rPr>
                <w:rFonts w:ascii="Arial Black" w:hAnsi="Arial Black" w:cs="Arial"/>
                <w:sz w:val="36"/>
                <w:szCs w:val="36"/>
              </w:rPr>
            </w:pPr>
            <w:r>
              <w:rPr>
                <w:rFonts w:ascii="Arial Black" w:hAnsi="Arial Black" w:cs="Arial"/>
                <w:sz w:val="36"/>
                <w:szCs w:val="36"/>
              </w:rPr>
              <w:t>GOVERNANCE, AUDIT, RISK MANAGEMENT &amp; STANDARDS</w:t>
            </w:r>
            <w:r w:rsidR="00FF71E5">
              <w:rPr>
                <w:rFonts w:ascii="Arial Black" w:hAnsi="Arial Black" w:cs="Arial"/>
                <w:sz w:val="36"/>
                <w:szCs w:val="36"/>
              </w:rPr>
              <w:t xml:space="preserve"> </w:t>
            </w:r>
            <w:r w:rsidR="00D841A5" w:rsidRPr="00D841A5">
              <w:rPr>
                <w:rFonts w:ascii="Arial Black" w:hAnsi="Arial Black" w:cs="Arial"/>
                <w:sz w:val="36"/>
                <w:szCs w:val="36"/>
              </w:rPr>
              <w:t>COMMITTEE</w:t>
            </w:r>
          </w:p>
          <w:p w14:paraId="47C4C90C" w14:textId="78B129DA" w:rsidR="002C1794" w:rsidRPr="002C1794" w:rsidRDefault="002C1794" w:rsidP="00D32B51">
            <w:pPr>
              <w:pStyle w:val="Infotext"/>
              <w:rPr>
                <w:rFonts w:ascii="Arial Black" w:hAnsi="Arial Black" w:cs="Arial"/>
                <w:color w:val="0000FF"/>
                <w:sz w:val="36"/>
                <w:szCs w:val="36"/>
              </w:rPr>
            </w:pPr>
          </w:p>
        </w:tc>
      </w:tr>
      <w:tr w:rsidR="002A2389" w14:paraId="5475BDF7" w14:textId="77777777" w:rsidTr="00A56C28">
        <w:tc>
          <w:tcPr>
            <w:tcW w:w="3456" w:type="dxa"/>
            <w:tcBorders>
              <w:top w:val="single" w:sz="18" w:space="0" w:color="auto"/>
            </w:tcBorders>
          </w:tcPr>
          <w:p w14:paraId="37F9B248"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01394D66" w14:textId="77777777" w:rsidR="002A2389" w:rsidRPr="00F92398" w:rsidRDefault="002A2389">
            <w:pPr>
              <w:pStyle w:val="Infotext"/>
              <w:rPr>
                <w:rFonts w:ascii="Arial Black" w:hAnsi="Arial Black" w:cs="Arial"/>
              </w:rPr>
            </w:pPr>
          </w:p>
        </w:tc>
        <w:tc>
          <w:tcPr>
            <w:tcW w:w="5508" w:type="dxa"/>
            <w:gridSpan w:val="3"/>
            <w:tcBorders>
              <w:top w:val="single" w:sz="18" w:space="0" w:color="auto"/>
            </w:tcBorders>
          </w:tcPr>
          <w:p w14:paraId="0E5B0259" w14:textId="06456A4D" w:rsidR="002A2389" w:rsidRDefault="00903131">
            <w:pPr>
              <w:pStyle w:val="Infotext"/>
              <w:rPr>
                <w:rFonts w:cs="Arial"/>
              </w:rPr>
            </w:pPr>
            <w:r>
              <w:rPr>
                <w:rFonts w:cs="Arial"/>
              </w:rPr>
              <w:t>2</w:t>
            </w:r>
            <w:r w:rsidR="009E068B">
              <w:rPr>
                <w:rFonts w:cs="Arial"/>
              </w:rPr>
              <w:t>6th</w:t>
            </w:r>
            <w:r>
              <w:rPr>
                <w:rFonts w:cs="Arial"/>
              </w:rPr>
              <w:t xml:space="preserve"> January 202</w:t>
            </w:r>
            <w:r w:rsidR="009E068B">
              <w:rPr>
                <w:rFonts w:cs="Arial"/>
              </w:rPr>
              <w:t>1</w:t>
            </w:r>
          </w:p>
        </w:tc>
      </w:tr>
      <w:tr w:rsidR="002A2389" w14:paraId="3DBEB718" w14:textId="77777777" w:rsidTr="00A56C28">
        <w:tc>
          <w:tcPr>
            <w:tcW w:w="3456" w:type="dxa"/>
          </w:tcPr>
          <w:p w14:paraId="44058376"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2291160B" w14:textId="77777777" w:rsidR="002A2389" w:rsidRPr="00F92398" w:rsidRDefault="002A2389">
            <w:pPr>
              <w:pStyle w:val="Infotext"/>
              <w:rPr>
                <w:rFonts w:ascii="Arial Black" w:hAnsi="Arial Black"/>
              </w:rPr>
            </w:pPr>
          </w:p>
        </w:tc>
        <w:tc>
          <w:tcPr>
            <w:tcW w:w="5508" w:type="dxa"/>
            <w:gridSpan w:val="3"/>
          </w:tcPr>
          <w:p w14:paraId="564711AB" w14:textId="77777777" w:rsidR="002A2389" w:rsidRDefault="00903131" w:rsidP="00903131">
            <w:pPr>
              <w:pStyle w:val="Infotext"/>
              <w:rPr>
                <w:rFonts w:ascii="Arial Black" w:hAnsi="Arial Black" w:cs="Arial"/>
              </w:rPr>
            </w:pPr>
            <w:r w:rsidRPr="00E026EE">
              <w:rPr>
                <w:rFonts w:ascii="Arial Black" w:hAnsi="Arial Black" w:cs="Arial"/>
              </w:rPr>
              <w:t xml:space="preserve">INFORMATION REPORT – </w:t>
            </w:r>
            <w:r>
              <w:rPr>
                <w:rFonts w:ascii="Arial Black" w:hAnsi="Arial Black" w:cs="Arial"/>
              </w:rPr>
              <w:t>Internal Audit and Corporate Anti-fraud Mid-Year Report and Quarter 3 Update 20</w:t>
            </w:r>
            <w:r w:rsidR="009E068B">
              <w:rPr>
                <w:rFonts w:ascii="Arial Black" w:hAnsi="Arial Black" w:cs="Arial"/>
              </w:rPr>
              <w:t>20</w:t>
            </w:r>
            <w:r>
              <w:rPr>
                <w:rFonts w:ascii="Arial Black" w:hAnsi="Arial Black" w:cs="Arial"/>
              </w:rPr>
              <w:t>/2</w:t>
            </w:r>
            <w:r w:rsidR="009E068B">
              <w:rPr>
                <w:rFonts w:ascii="Arial Black" w:hAnsi="Arial Black" w:cs="Arial"/>
              </w:rPr>
              <w:t>1</w:t>
            </w:r>
          </w:p>
          <w:p w14:paraId="3307651C" w14:textId="5051340F" w:rsidR="00157E9B" w:rsidRDefault="00157E9B" w:rsidP="00903131">
            <w:pPr>
              <w:pStyle w:val="Infotext"/>
              <w:rPr>
                <w:rFonts w:cs="Arial"/>
              </w:rPr>
            </w:pPr>
            <w:bookmarkStart w:id="0" w:name="_GoBack"/>
            <w:bookmarkEnd w:id="0"/>
          </w:p>
        </w:tc>
      </w:tr>
      <w:tr w:rsidR="002A2389" w14:paraId="7D3A7F2B" w14:textId="77777777" w:rsidTr="00A56C28">
        <w:tc>
          <w:tcPr>
            <w:tcW w:w="3456" w:type="dxa"/>
          </w:tcPr>
          <w:p w14:paraId="5882D7FA"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2EA47DDE" w14:textId="77777777" w:rsidR="002A2389" w:rsidRPr="00F92398" w:rsidRDefault="002A2389">
            <w:pPr>
              <w:pStyle w:val="Infotext"/>
              <w:rPr>
                <w:rFonts w:ascii="Arial Black" w:hAnsi="Arial Black" w:cs="Arial"/>
              </w:rPr>
            </w:pPr>
          </w:p>
        </w:tc>
        <w:tc>
          <w:tcPr>
            <w:tcW w:w="5508" w:type="dxa"/>
            <w:gridSpan w:val="3"/>
          </w:tcPr>
          <w:p w14:paraId="777D84A3" w14:textId="0A5EC2EF" w:rsidR="002A2389" w:rsidRDefault="00903131">
            <w:pPr>
              <w:pStyle w:val="Infotext"/>
              <w:rPr>
                <w:rFonts w:cs="Arial"/>
              </w:rPr>
            </w:pPr>
            <w:r>
              <w:rPr>
                <w:rFonts w:cs="Arial"/>
              </w:rPr>
              <w:t>Dawn Calvert – Director of Finance</w:t>
            </w:r>
            <w:r w:rsidR="009E068B">
              <w:rPr>
                <w:rFonts w:cs="Arial"/>
              </w:rPr>
              <w:t xml:space="preserve"> &amp; Assurance</w:t>
            </w:r>
          </w:p>
          <w:p w14:paraId="25565D00" w14:textId="77777777" w:rsidR="007D56C8" w:rsidRDefault="007D56C8">
            <w:pPr>
              <w:pStyle w:val="Infotext"/>
              <w:rPr>
                <w:rFonts w:cs="Arial"/>
              </w:rPr>
            </w:pPr>
          </w:p>
        </w:tc>
      </w:tr>
      <w:tr w:rsidR="002A2389" w14:paraId="2B3B0476" w14:textId="77777777" w:rsidTr="00A56C28">
        <w:tc>
          <w:tcPr>
            <w:tcW w:w="3456" w:type="dxa"/>
          </w:tcPr>
          <w:p w14:paraId="482DA156" w14:textId="77777777" w:rsidR="002A2389" w:rsidRPr="00F92398" w:rsidRDefault="002A2389">
            <w:pPr>
              <w:pStyle w:val="Infotext"/>
              <w:rPr>
                <w:rFonts w:ascii="Arial Black" w:hAnsi="Arial Black" w:cs="Arial"/>
              </w:rPr>
            </w:pPr>
            <w:r w:rsidRPr="00F92398">
              <w:rPr>
                <w:rFonts w:ascii="Arial Black" w:hAnsi="Arial Black" w:cs="Arial"/>
              </w:rPr>
              <w:t>Exempt:</w:t>
            </w:r>
          </w:p>
          <w:p w14:paraId="19933EE1" w14:textId="77777777" w:rsidR="002A2389" w:rsidRPr="00F92398" w:rsidRDefault="002A2389">
            <w:pPr>
              <w:pStyle w:val="Infotext"/>
              <w:rPr>
                <w:rFonts w:ascii="Arial Black" w:hAnsi="Arial Black" w:cs="Arial"/>
              </w:rPr>
            </w:pPr>
          </w:p>
        </w:tc>
        <w:tc>
          <w:tcPr>
            <w:tcW w:w="5508" w:type="dxa"/>
            <w:gridSpan w:val="3"/>
          </w:tcPr>
          <w:p w14:paraId="40E00106" w14:textId="23F7DC70" w:rsidR="002A2389" w:rsidRDefault="002A2389">
            <w:pPr>
              <w:pStyle w:val="Infotext"/>
              <w:rPr>
                <w:rFonts w:cs="Arial"/>
              </w:rPr>
            </w:pPr>
            <w:r>
              <w:rPr>
                <w:rFonts w:cs="Arial"/>
              </w:rPr>
              <w:t>No</w:t>
            </w:r>
            <w:r w:rsidR="009E068B">
              <w:rPr>
                <w:rFonts w:cs="Arial"/>
              </w:rPr>
              <w:t xml:space="preserve"> ex</w:t>
            </w:r>
            <w:r w:rsidR="00A56C28">
              <w:rPr>
                <w:rFonts w:cs="Arial"/>
              </w:rPr>
              <w:t>cept</w:t>
            </w:r>
            <w:r w:rsidR="009E068B">
              <w:rPr>
                <w:rFonts w:cs="Arial"/>
              </w:rPr>
              <w:t xml:space="preserve"> Appendix 2</w:t>
            </w:r>
            <w:r w:rsidR="00A56C28">
              <w:rPr>
                <w:rFonts w:cs="Arial"/>
              </w:rPr>
              <w:t xml:space="preserve"> - </w:t>
            </w:r>
            <w:r w:rsidR="00A56C28" w:rsidRPr="00A56C28">
              <w:rPr>
                <w:rFonts w:cs="Arial"/>
              </w:rPr>
              <w:t>the item is exempt from publication under paragraph 3 of Schedule 12A to the Local Government Act 1972 (as amended) as it contains information relating to the financial or business affairs of any particular person (including the authority holding that information).</w:t>
            </w:r>
          </w:p>
          <w:p w14:paraId="09D0D2FE" w14:textId="77777777" w:rsidR="00213BE7" w:rsidRDefault="00213BE7">
            <w:pPr>
              <w:pStyle w:val="Infotext"/>
              <w:rPr>
                <w:rFonts w:cs="Arial"/>
              </w:rPr>
            </w:pPr>
          </w:p>
        </w:tc>
      </w:tr>
      <w:tr w:rsidR="00B900E2" w14:paraId="102A76B2" w14:textId="77777777" w:rsidTr="00A56C28">
        <w:tc>
          <w:tcPr>
            <w:tcW w:w="3456" w:type="dxa"/>
          </w:tcPr>
          <w:p w14:paraId="1226E076" w14:textId="77777777" w:rsidR="00B900E2" w:rsidRDefault="000B0E6F">
            <w:pPr>
              <w:pStyle w:val="Infotext"/>
              <w:rPr>
                <w:rFonts w:ascii="Arial Black" w:hAnsi="Arial Black" w:cs="Arial"/>
              </w:rPr>
            </w:pPr>
            <w:r>
              <w:rPr>
                <w:rFonts w:ascii="Arial Black" w:hAnsi="Arial Black" w:cs="Arial"/>
              </w:rPr>
              <w:t>Wards affected:</w:t>
            </w:r>
          </w:p>
          <w:p w14:paraId="787DCE2E" w14:textId="77777777" w:rsidR="000B0E6F" w:rsidRPr="00F92398" w:rsidRDefault="000B0E6F">
            <w:pPr>
              <w:pStyle w:val="Infotext"/>
              <w:rPr>
                <w:rFonts w:ascii="Arial Black" w:hAnsi="Arial Black" w:cs="Arial"/>
              </w:rPr>
            </w:pPr>
          </w:p>
        </w:tc>
        <w:tc>
          <w:tcPr>
            <w:tcW w:w="5508" w:type="dxa"/>
            <w:gridSpan w:val="3"/>
          </w:tcPr>
          <w:p w14:paraId="0D5BA736" w14:textId="77777777" w:rsidR="00B900E2" w:rsidRDefault="00903131" w:rsidP="00903131">
            <w:pPr>
              <w:pStyle w:val="Infotext"/>
            </w:pPr>
            <w:r>
              <w:rPr>
                <w:rFonts w:cs="Arial"/>
                <w:szCs w:val="24"/>
              </w:rPr>
              <w:t>ALL</w:t>
            </w:r>
          </w:p>
        </w:tc>
      </w:tr>
      <w:tr w:rsidR="002A2389" w14:paraId="045AACC3" w14:textId="77777777" w:rsidTr="00A56C28">
        <w:tc>
          <w:tcPr>
            <w:tcW w:w="3456" w:type="dxa"/>
          </w:tcPr>
          <w:p w14:paraId="66764CD7"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636ECBB0" w14:textId="77777777" w:rsidR="002A2389" w:rsidRPr="00F92398" w:rsidRDefault="002A2389">
            <w:pPr>
              <w:pStyle w:val="Infotext"/>
              <w:rPr>
                <w:rFonts w:ascii="Arial Black" w:hAnsi="Arial Black" w:cs="Arial"/>
              </w:rPr>
            </w:pPr>
          </w:p>
        </w:tc>
        <w:tc>
          <w:tcPr>
            <w:tcW w:w="5508" w:type="dxa"/>
            <w:gridSpan w:val="3"/>
          </w:tcPr>
          <w:p w14:paraId="22E7007A" w14:textId="0A33C7A5" w:rsidR="002A2389" w:rsidRDefault="00E4438C" w:rsidP="00E4438C">
            <w:pPr>
              <w:pStyle w:val="Infotext"/>
            </w:pPr>
            <w:r>
              <w:t>Appendix 1 – Internal Audit Mid-Year and Quarter 3 Update Report 20</w:t>
            </w:r>
            <w:r w:rsidR="009E068B">
              <w:t>20</w:t>
            </w:r>
            <w:r>
              <w:t>/2</w:t>
            </w:r>
            <w:r w:rsidR="009E068B">
              <w:t>1</w:t>
            </w:r>
          </w:p>
          <w:p w14:paraId="50BD1554" w14:textId="3280FFB9" w:rsidR="009E068B" w:rsidRDefault="009E068B" w:rsidP="00E4438C">
            <w:pPr>
              <w:pStyle w:val="Infotext"/>
            </w:pPr>
            <w:r>
              <w:t xml:space="preserve">Appendix 2 </w:t>
            </w:r>
            <w:r w:rsidR="00A56C28">
              <w:t xml:space="preserve">(Part II) </w:t>
            </w:r>
            <w:r>
              <w:t xml:space="preserve">– Red Assurance </w:t>
            </w:r>
            <w:r w:rsidR="00A56C28">
              <w:t xml:space="preserve">Report </w:t>
            </w:r>
            <w:r>
              <w:t xml:space="preserve">Follow-up </w:t>
            </w:r>
          </w:p>
          <w:p w14:paraId="130A11D4" w14:textId="4B2FBE17" w:rsidR="00E4438C" w:rsidRDefault="00E4438C" w:rsidP="00E4438C">
            <w:pPr>
              <w:pStyle w:val="Infotext"/>
            </w:pPr>
            <w:r>
              <w:t xml:space="preserve">Appendix </w:t>
            </w:r>
            <w:r w:rsidR="009E068B">
              <w:t>3</w:t>
            </w:r>
            <w:r>
              <w:t xml:space="preserve"> – Corporate Anti-Fraud Team Mid-Year and Quarter 3 Update Report 20</w:t>
            </w:r>
            <w:r w:rsidR="009E068B">
              <w:t>20</w:t>
            </w:r>
            <w:r>
              <w:t>/2</w:t>
            </w:r>
            <w:r w:rsidR="009E068B">
              <w:t>1</w:t>
            </w:r>
          </w:p>
        </w:tc>
      </w:tr>
      <w:tr w:rsidR="00675FCB" w14:paraId="5F330C94" w14:textId="77777777" w:rsidTr="00A5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5" w:type="dxa"/>
        </w:trPr>
        <w:tc>
          <w:tcPr>
            <w:tcW w:w="8309" w:type="dxa"/>
            <w:gridSpan w:val="2"/>
            <w:tcBorders>
              <w:top w:val="nil"/>
              <w:left w:val="nil"/>
              <w:right w:val="nil"/>
            </w:tcBorders>
          </w:tcPr>
          <w:p w14:paraId="4C014ABB" w14:textId="77777777" w:rsidR="00675FCB" w:rsidRDefault="00675FCB" w:rsidP="00675FCB">
            <w:pPr>
              <w:pStyle w:val="Heading1"/>
            </w:pPr>
            <w:r>
              <w:t>Section 1 – Summary and Recommendations</w:t>
            </w:r>
          </w:p>
          <w:p w14:paraId="689CB75B" w14:textId="77777777" w:rsidR="00675FCB" w:rsidRDefault="00675FCB"/>
        </w:tc>
      </w:tr>
      <w:tr w:rsidR="002A2389" w14:paraId="602C7F1C" w14:textId="77777777" w:rsidTr="00A56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55" w:type="dxa"/>
        </w:trPr>
        <w:tc>
          <w:tcPr>
            <w:tcW w:w="8309" w:type="dxa"/>
            <w:gridSpan w:val="2"/>
          </w:tcPr>
          <w:p w14:paraId="2CB03B0F" w14:textId="5AF39686" w:rsidR="002A2389" w:rsidRDefault="002A2389">
            <w:r w:rsidRPr="00E4438C">
              <w:t>This report sets out</w:t>
            </w:r>
            <w:r w:rsidR="00E4438C">
              <w:t xml:space="preserve"> progress against the 20</w:t>
            </w:r>
            <w:r w:rsidR="009E068B">
              <w:t>20</w:t>
            </w:r>
            <w:r w:rsidR="00E4438C">
              <w:t>/2</w:t>
            </w:r>
            <w:r w:rsidR="009E068B">
              <w:t>1</w:t>
            </w:r>
            <w:r w:rsidR="00E4438C">
              <w:t xml:space="preserve"> Internal Audit and Corporate Anti-Fraud Plan.</w:t>
            </w:r>
          </w:p>
          <w:p w14:paraId="642370E0" w14:textId="77777777" w:rsidR="002A2389" w:rsidRDefault="002A2389">
            <w:pPr>
              <w:jc w:val="both"/>
              <w:rPr>
                <w:rFonts w:cs="Arial"/>
              </w:rPr>
            </w:pPr>
          </w:p>
          <w:p w14:paraId="7FD66D4F" w14:textId="27F8AA8A" w:rsidR="00596D93" w:rsidRPr="00596D93" w:rsidRDefault="00596D93">
            <w:pPr>
              <w:jc w:val="both"/>
              <w:rPr>
                <w:rFonts w:cs="Arial"/>
                <w:b/>
                <w:bCs/>
              </w:rPr>
            </w:pPr>
            <w:r w:rsidRPr="00596D93">
              <w:rPr>
                <w:rFonts w:cs="Arial"/>
                <w:b/>
                <w:bCs/>
              </w:rPr>
              <w:lastRenderedPageBreak/>
              <w:t>FOR INFORMATION</w:t>
            </w:r>
          </w:p>
        </w:tc>
      </w:tr>
    </w:tbl>
    <w:p w14:paraId="198AABCB" w14:textId="77777777"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14:paraId="77ED500D" w14:textId="77777777" w:rsidR="002A2389" w:rsidRDefault="002A2389">
      <w:pPr>
        <w:pStyle w:val="Heading1"/>
        <w:jc w:val="both"/>
      </w:pPr>
      <w:r>
        <w:br w:type="page"/>
      </w:r>
      <w:r>
        <w:lastRenderedPageBreak/>
        <w:t>Section 2 – Report</w:t>
      </w:r>
    </w:p>
    <w:p w14:paraId="66250399" w14:textId="77777777" w:rsidR="002A2389" w:rsidRDefault="002A2389"/>
    <w:p w14:paraId="3507EE9B" w14:textId="77777777" w:rsidR="002A2389" w:rsidRDefault="002A2389">
      <w:pPr>
        <w:pStyle w:val="Heading2"/>
      </w:pPr>
      <w:r w:rsidRPr="00595384">
        <w:t xml:space="preserve">Background </w:t>
      </w:r>
    </w:p>
    <w:p w14:paraId="0C598AFA" w14:textId="77777777" w:rsidR="00595384" w:rsidRDefault="00595384" w:rsidP="00595384"/>
    <w:p w14:paraId="6235440D" w14:textId="77777777" w:rsidR="00595384" w:rsidRDefault="00595384" w:rsidP="00595384">
      <w:pPr>
        <w:ind w:left="561" w:hanging="561"/>
        <w:jc w:val="both"/>
        <w:rPr>
          <w:rFonts w:cs="Arial"/>
        </w:rPr>
      </w:pPr>
      <w:r>
        <w:rPr>
          <w:rFonts w:cs="Arial"/>
        </w:rPr>
        <w:t>2.1.</w:t>
      </w:r>
      <w:r>
        <w:rPr>
          <w:rFonts w:cs="Arial"/>
        </w:rPr>
        <w:tab/>
      </w:r>
      <w:r w:rsidRPr="003F0E04">
        <w:rPr>
          <w:rFonts w:cs="Arial"/>
        </w:rPr>
        <w:t xml:space="preserve">Annually the GARMS Committee considers a mid and full year </w:t>
      </w:r>
      <w:r>
        <w:rPr>
          <w:rFonts w:cs="Arial"/>
        </w:rPr>
        <w:t>r</w:t>
      </w:r>
      <w:r w:rsidRPr="003F0E04">
        <w:rPr>
          <w:rFonts w:cs="Arial"/>
        </w:rPr>
        <w:t>eport</w:t>
      </w:r>
      <w:r>
        <w:rPr>
          <w:rFonts w:cs="Arial"/>
        </w:rPr>
        <w:t xml:space="preserve"> from Internal Audit and Corporate Anti-Fraud c</w:t>
      </w:r>
      <w:r w:rsidRPr="003F0E04">
        <w:rPr>
          <w:rFonts w:cs="Arial"/>
        </w:rPr>
        <w:t xml:space="preserve">overing progress against the </w:t>
      </w:r>
      <w:r>
        <w:rPr>
          <w:rFonts w:cs="Arial"/>
        </w:rPr>
        <w:t>agreed plans</w:t>
      </w:r>
      <w:r w:rsidRPr="003F0E04">
        <w:rPr>
          <w:rFonts w:cs="Arial"/>
        </w:rPr>
        <w:t xml:space="preserve">.  </w:t>
      </w:r>
    </w:p>
    <w:p w14:paraId="30809F82" w14:textId="77777777" w:rsidR="002A2389" w:rsidRDefault="002A2389">
      <w:pPr>
        <w:rPr>
          <w:color w:val="0000FF"/>
        </w:rPr>
      </w:pPr>
    </w:p>
    <w:p w14:paraId="51741092" w14:textId="3A8986A1" w:rsidR="00595384" w:rsidRPr="00404759" w:rsidRDefault="00595384" w:rsidP="00595384">
      <w:pPr>
        <w:pStyle w:val="Footer"/>
        <w:tabs>
          <w:tab w:val="clear" w:pos="4153"/>
          <w:tab w:val="clear" w:pos="8306"/>
        </w:tabs>
        <w:rPr>
          <w:rFonts w:cs="Arial"/>
          <w:b/>
          <w:iCs/>
          <w:szCs w:val="20"/>
          <w:lang w:val="en-GB"/>
        </w:rPr>
      </w:pPr>
      <w:r>
        <w:rPr>
          <w:rFonts w:cs="Arial"/>
          <w:b/>
          <w:iCs/>
          <w:szCs w:val="20"/>
          <w:lang w:val="en-GB"/>
        </w:rPr>
        <w:t xml:space="preserve">Internal Audit Mid–Year </w:t>
      </w:r>
      <w:r w:rsidR="00F32193">
        <w:rPr>
          <w:rFonts w:cs="Arial"/>
          <w:b/>
          <w:iCs/>
          <w:szCs w:val="20"/>
          <w:lang w:val="en-GB"/>
        </w:rPr>
        <w:t xml:space="preserve">Report </w:t>
      </w:r>
      <w:r>
        <w:rPr>
          <w:rFonts w:cs="Arial"/>
          <w:b/>
          <w:iCs/>
          <w:szCs w:val="20"/>
          <w:lang w:val="en-GB"/>
        </w:rPr>
        <w:t>and Quarter 3 Update (Appendix 1)</w:t>
      </w:r>
    </w:p>
    <w:p w14:paraId="6CACA2C7" w14:textId="77777777" w:rsidR="00213BE7" w:rsidRDefault="00213BE7" w:rsidP="00213BE7"/>
    <w:p w14:paraId="35EDA228" w14:textId="37CD9DEB" w:rsidR="00595384" w:rsidRDefault="00595384" w:rsidP="00595384">
      <w:pPr>
        <w:ind w:left="561" w:hanging="561"/>
        <w:jc w:val="both"/>
        <w:rPr>
          <w:rFonts w:cs="Arial"/>
        </w:rPr>
      </w:pPr>
      <w:r w:rsidRPr="00023896">
        <w:rPr>
          <w:rFonts w:cs="Arial"/>
          <w:szCs w:val="24"/>
        </w:rPr>
        <w:t>2.2.</w:t>
      </w:r>
      <w:r w:rsidRPr="00023896">
        <w:rPr>
          <w:rFonts w:cs="Arial"/>
          <w:szCs w:val="24"/>
        </w:rPr>
        <w:tab/>
      </w:r>
      <w:r w:rsidR="009A3F86">
        <w:rPr>
          <w:rFonts w:cs="Arial"/>
          <w:szCs w:val="24"/>
        </w:rPr>
        <w:t xml:space="preserve">In summary at </w:t>
      </w:r>
      <w:r>
        <w:rPr>
          <w:rFonts w:cs="Arial"/>
          <w:szCs w:val="24"/>
        </w:rPr>
        <w:t xml:space="preserve">mid-year </w:t>
      </w:r>
      <w:r w:rsidRPr="002D0736">
        <w:t xml:space="preserve">Internal Audit </w:t>
      </w:r>
      <w:r>
        <w:t xml:space="preserve">have </w:t>
      </w:r>
      <w:r w:rsidRPr="002D0736">
        <w:t>achieve</w:t>
      </w:r>
      <w:r>
        <w:t>d</w:t>
      </w:r>
      <w:r w:rsidRPr="002D0736">
        <w:t xml:space="preserve"> </w:t>
      </w:r>
      <w:r w:rsidRPr="006B7409">
        <w:t>4</w:t>
      </w:r>
      <w:r w:rsidR="006B7409" w:rsidRPr="006B7409">
        <w:t>6</w:t>
      </w:r>
      <w:r w:rsidRPr="006B7409">
        <w:t>%</w:t>
      </w:r>
      <w:r w:rsidRPr="002D0736">
        <w:t xml:space="preserve"> of the 20</w:t>
      </w:r>
      <w:r w:rsidR="009E068B">
        <w:t>20</w:t>
      </w:r>
      <w:r>
        <w:t>/2</w:t>
      </w:r>
      <w:r w:rsidR="009E068B">
        <w:t>1</w:t>
      </w:r>
      <w:r>
        <w:t xml:space="preserve"> a</w:t>
      </w:r>
      <w:r w:rsidRPr="002D0736">
        <w:t xml:space="preserve">nnual </w:t>
      </w:r>
      <w:r>
        <w:t>internal a</w:t>
      </w:r>
      <w:r w:rsidRPr="002D0736">
        <w:t>udit</w:t>
      </w:r>
      <w:r>
        <w:t xml:space="preserve"> plan with a further </w:t>
      </w:r>
      <w:r w:rsidR="00FF4E12">
        <w:t>2%</w:t>
      </w:r>
      <w:r>
        <w:t xml:space="preserve"> in progress.  This included 100% achievement of the core </w:t>
      </w:r>
      <w:r w:rsidRPr="007A6983">
        <w:t>financial systems reviews</w:t>
      </w:r>
      <w:r>
        <w:t xml:space="preserve"> all of which were given an</w:t>
      </w:r>
      <w:r w:rsidR="00FF4E12">
        <w:t xml:space="preserve"> </w:t>
      </w:r>
      <w:r>
        <w:t>amber/green or green assurance rating.</w:t>
      </w:r>
      <w:r w:rsidRPr="007A6983">
        <w:t xml:space="preserve">  </w:t>
      </w:r>
      <w:r w:rsidR="00FF4E12">
        <w:t>100%</w:t>
      </w:r>
      <w:r>
        <w:t xml:space="preserve"> of recommendations made</w:t>
      </w:r>
      <w:r>
        <w:rPr>
          <w:rFonts w:cs="Arial"/>
        </w:rPr>
        <w:t xml:space="preserve"> to management to improve internal control </w:t>
      </w:r>
      <w:r w:rsidRPr="007A6983">
        <w:rPr>
          <w:rFonts w:cs="Arial"/>
        </w:rPr>
        <w:t xml:space="preserve">were agreed </w:t>
      </w:r>
      <w:r>
        <w:rPr>
          <w:rFonts w:cs="Arial"/>
        </w:rPr>
        <w:t>for implementation exceeding</w:t>
      </w:r>
      <w:r w:rsidRPr="007A6983">
        <w:rPr>
          <w:rFonts w:cs="Arial"/>
        </w:rPr>
        <w:t xml:space="preserve"> the 95% target</w:t>
      </w:r>
      <w:r>
        <w:rPr>
          <w:rFonts w:cs="Arial"/>
        </w:rPr>
        <w:t xml:space="preserve"> and at the time of follow-up </w:t>
      </w:r>
      <w:r w:rsidR="00FF4E12">
        <w:rPr>
          <w:rFonts w:cs="Arial"/>
        </w:rPr>
        <w:t>79%</w:t>
      </w:r>
      <w:r>
        <w:rPr>
          <w:rFonts w:cs="Arial"/>
        </w:rPr>
        <w:t xml:space="preserve"> of recommendations previously agreed </w:t>
      </w:r>
      <w:r w:rsidR="009A3F86">
        <w:rPr>
          <w:rFonts w:cs="Arial"/>
        </w:rPr>
        <w:t xml:space="preserve">by management were implemented/substantially implemented, </w:t>
      </w:r>
      <w:r w:rsidR="00FF4E12">
        <w:rPr>
          <w:rFonts w:cs="Arial"/>
        </w:rPr>
        <w:t>15%</w:t>
      </w:r>
      <w:r w:rsidR="009A3F86">
        <w:rPr>
          <w:rFonts w:cs="Arial"/>
        </w:rPr>
        <w:t xml:space="preserve"> were in progress and </w:t>
      </w:r>
      <w:r w:rsidR="00FF4E12">
        <w:rPr>
          <w:rFonts w:cs="Arial"/>
        </w:rPr>
        <w:t>6%</w:t>
      </w:r>
      <w:r w:rsidR="009A3F86">
        <w:rPr>
          <w:rFonts w:cs="Arial"/>
        </w:rPr>
        <w:t xml:space="preserve"> were planned</w:t>
      </w:r>
      <w:r w:rsidRPr="007A6983">
        <w:rPr>
          <w:rFonts w:cs="Arial"/>
        </w:rPr>
        <w:t>.</w:t>
      </w:r>
      <w:r>
        <w:rPr>
          <w:rFonts w:cs="Arial"/>
        </w:rPr>
        <w:t xml:space="preserve"> </w:t>
      </w:r>
    </w:p>
    <w:p w14:paraId="7872A7BA" w14:textId="77777777" w:rsidR="009A3F86" w:rsidRDefault="009A3F86" w:rsidP="00595384">
      <w:pPr>
        <w:ind w:left="561" w:hanging="561"/>
        <w:jc w:val="both"/>
        <w:rPr>
          <w:rFonts w:cs="Arial"/>
        </w:rPr>
      </w:pPr>
    </w:p>
    <w:p w14:paraId="61998A8C" w14:textId="38F7ACA3" w:rsidR="009A3F86" w:rsidRDefault="009A3F86" w:rsidP="00595384">
      <w:pPr>
        <w:ind w:left="561" w:hanging="561"/>
        <w:jc w:val="both"/>
        <w:rPr>
          <w:rFonts w:cs="Arial"/>
          <w:szCs w:val="24"/>
        </w:rPr>
      </w:pPr>
      <w:r>
        <w:rPr>
          <w:rFonts w:cs="Arial"/>
        </w:rPr>
        <w:t>2.3</w:t>
      </w:r>
      <w:r>
        <w:rPr>
          <w:rFonts w:cs="Arial"/>
        </w:rPr>
        <w:tab/>
      </w:r>
      <w:r>
        <w:rPr>
          <w:rFonts w:cs="Arial"/>
          <w:szCs w:val="24"/>
        </w:rPr>
        <w:t>Appendix 1</w:t>
      </w:r>
      <w:r w:rsidRPr="00023896">
        <w:rPr>
          <w:rFonts w:cs="Arial"/>
          <w:szCs w:val="24"/>
        </w:rPr>
        <w:t xml:space="preserve"> </w:t>
      </w:r>
      <w:r>
        <w:rPr>
          <w:rFonts w:cs="Arial"/>
          <w:szCs w:val="24"/>
        </w:rPr>
        <w:t xml:space="preserve">details the key factors at mid-year for the 2019/20 Head of Internal Audit Opinion, provides </w:t>
      </w:r>
      <w:r w:rsidRPr="00023896">
        <w:rPr>
          <w:rFonts w:cs="Arial"/>
          <w:szCs w:val="24"/>
        </w:rPr>
        <w:t xml:space="preserve">a summary of </w:t>
      </w:r>
      <w:r>
        <w:rPr>
          <w:rFonts w:cs="Arial"/>
          <w:szCs w:val="24"/>
        </w:rPr>
        <w:t xml:space="preserve">all the </w:t>
      </w:r>
      <w:r w:rsidRPr="00023896">
        <w:rPr>
          <w:rFonts w:cs="Arial"/>
          <w:szCs w:val="24"/>
        </w:rPr>
        <w:t xml:space="preserve">work undertaken </w:t>
      </w:r>
      <w:r>
        <w:rPr>
          <w:rFonts w:cs="Arial"/>
          <w:szCs w:val="24"/>
        </w:rPr>
        <w:t>at mid-year and Quarter 3 and the performance of Internal Audit against the agreed key performance indicators at mid-year.</w:t>
      </w:r>
      <w:r w:rsidR="00FF4E12">
        <w:rPr>
          <w:rFonts w:cs="Arial"/>
          <w:szCs w:val="24"/>
        </w:rPr>
        <w:t xml:space="preserve">  </w:t>
      </w:r>
    </w:p>
    <w:p w14:paraId="10A6AEAD" w14:textId="6587E4EF" w:rsidR="00FF4E12" w:rsidRDefault="00FF4E12" w:rsidP="00595384">
      <w:pPr>
        <w:ind w:left="561" w:hanging="561"/>
        <w:jc w:val="both"/>
        <w:rPr>
          <w:rFonts w:cs="Arial"/>
          <w:szCs w:val="24"/>
        </w:rPr>
      </w:pPr>
    </w:p>
    <w:p w14:paraId="2966869B" w14:textId="74BFE16F" w:rsidR="00FF4E12" w:rsidRDefault="00FF4E12" w:rsidP="00595384">
      <w:pPr>
        <w:ind w:left="561" w:hanging="561"/>
        <w:jc w:val="both"/>
        <w:rPr>
          <w:rFonts w:cs="Arial"/>
          <w:szCs w:val="24"/>
        </w:rPr>
      </w:pPr>
      <w:r>
        <w:rPr>
          <w:rFonts w:cs="Arial"/>
          <w:szCs w:val="24"/>
        </w:rPr>
        <w:t>2.4</w:t>
      </w:r>
      <w:r>
        <w:rPr>
          <w:rFonts w:cs="Arial"/>
          <w:szCs w:val="24"/>
        </w:rPr>
        <w:tab/>
        <w:t xml:space="preserve">Whilst this has been a challenging year so </w:t>
      </w:r>
      <w:proofErr w:type="gramStart"/>
      <w:r>
        <w:rPr>
          <w:rFonts w:cs="Arial"/>
          <w:szCs w:val="24"/>
        </w:rPr>
        <w:t>far</w:t>
      </w:r>
      <w:proofErr w:type="gramEnd"/>
      <w:r>
        <w:rPr>
          <w:rFonts w:cs="Arial"/>
          <w:szCs w:val="24"/>
        </w:rPr>
        <w:t xml:space="preserve"> the service has performed well</w:t>
      </w:r>
      <w:r w:rsidR="0065213E">
        <w:rPr>
          <w:rFonts w:cs="Arial"/>
          <w:szCs w:val="24"/>
        </w:rPr>
        <w:t>, meeting or exceeding all performance indicators,</w:t>
      </w:r>
      <w:r>
        <w:rPr>
          <w:rFonts w:cs="Arial"/>
          <w:szCs w:val="24"/>
        </w:rPr>
        <w:t xml:space="preserve"> albeit against a revised plan that took into account</w:t>
      </w:r>
      <w:r w:rsidR="0065213E">
        <w:rPr>
          <w:rFonts w:cs="Arial"/>
          <w:szCs w:val="24"/>
        </w:rPr>
        <w:t xml:space="preserve"> the current situation.  </w:t>
      </w:r>
      <w:r>
        <w:rPr>
          <w:rFonts w:cs="Arial"/>
          <w:szCs w:val="24"/>
        </w:rPr>
        <w:t xml:space="preserve"> </w:t>
      </w:r>
      <w:r w:rsidR="0065213E">
        <w:rPr>
          <w:rFonts w:cs="Arial"/>
          <w:szCs w:val="24"/>
        </w:rPr>
        <w:t xml:space="preserve">Challenges remain however with undertaking audit reviews and following up the implementation of agreed recommendations whilst working completely remotely.  These challenges include IT connection issues and issues with engaging auditees and managers and is reflected in the speed with which work can be completed.  Hence progress in Quarter 3 is slightly </w:t>
      </w:r>
      <w:r w:rsidR="00306EE3">
        <w:rPr>
          <w:rFonts w:cs="Arial"/>
          <w:szCs w:val="24"/>
        </w:rPr>
        <w:t>lower than e</w:t>
      </w:r>
      <w:r w:rsidR="0065213E">
        <w:rPr>
          <w:rFonts w:cs="Arial"/>
          <w:szCs w:val="24"/>
        </w:rPr>
        <w:t>xpect</w:t>
      </w:r>
      <w:r w:rsidR="00306EE3">
        <w:rPr>
          <w:rFonts w:cs="Arial"/>
          <w:szCs w:val="24"/>
        </w:rPr>
        <w:t>ed.</w:t>
      </w:r>
    </w:p>
    <w:p w14:paraId="3882C1C2" w14:textId="11E72B2C" w:rsidR="006B7409" w:rsidRDefault="0065213E" w:rsidP="00595384">
      <w:pPr>
        <w:ind w:left="561" w:hanging="561"/>
        <w:jc w:val="both"/>
        <w:rPr>
          <w:rFonts w:cs="Arial"/>
          <w:szCs w:val="24"/>
        </w:rPr>
      </w:pPr>
      <w:r>
        <w:rPr>
          <w:rFonts w:cs="Arial"/>
          <w:szCs w:val="24"/>
        </w:rPr>
        <w:t xml:space="preserve"> </w:t>
      </w:r>
    </w:p>
    <w:p w14:paraId="14E7839D" w14:textId="623A04C5" w:rsidR="006B7409" w:rsidRPr="000711D6" w:rsidRDefault="006B7409" w:rsidP="00595384">
      <w:pPr>
        <w:ind w:left="561" w:hanging="561"/>
        <w:jc w:val="both"/>
        <w:rPr>
          <w:rFonts w:cs="Arial"/>
          <w:color w:val="FF0000"/>
        </w:rPr>
      </w:pPr>
      <w:r>
        <w:rPr>
          <w:rFonts w:cs="Arial"/>
          <w:szCs w:val="24"/>
        </w:rPr>
        <w:t>2.</w:t>
      </w:r>
      <w:r w:rsidR="00306EE3">
        <w:rPr>
          <w:rFonts w:cs="Arial"/>
          <w:szCs w:val="24"/>
        </w:rPr>
        <w:t>5</w:t>
      </w:r>
      <w:r>
        <w:rPr>
          <w:rFonts w:cs="Arial"/>
          <w:szCs w:val="24"/>
        </w:rPr>
        <w:t xml:space="preserve"> </w:t>
      </w:r>
      <w:r>
        <w:rPr>
          <w:rFonts w:cs="Arial"/>
          <w:szCs w:val="24"/>
        </w:rPr>
        <w:tab/>
        <w:t>Appendix 2 (Part II item) is a confidential report</w:t>
      </w:r>
      <w:r w:rsidR="00306EE3">
        <w:rPr>
          <w:rFonts w:cs="Arial"/>
          <w:szCs w:val="24"/>
        </w:rPr>
        <w:t xml:space="preserve"> on the follow-up of a red audit report previously presented to the committee </w:t>
      </w:r>
      <w:r w:rsidR="001E1D87">
        <w:rPr>
          <w:rFonts w:cs="Arial"/>
          <w:szCs w:val="24"/>
        </w:rPr>
        <w:t xml:space="preserve">in September 2019 </w:t>
      </w:r>
      <w:r w:rsidR="00306EE3">
        <w:rPr>
          <w:rFonts w:cs="Arial"/>
          <w:szCs w:val="24"/>
        </w:rPr>
        <w:t>showing an increased assurance rating of amber/green.</w:t>
      </w:r>
    </w:p>
    <w:p w14:paraId="5A64FFFD" w14:textId="77777777" w:rsidR="00595384" w:rsidRPr="00213BE7" w:rsidRDefault="00595384" w:rsidP="00213BE7"/>
    <w:p w14:paraId="6FBD72A9" w14:textId="5F98C2C9" w:rsidR="009A3F86" w:rsidRPr="00323688" w:rsidRDefault="009A3F86" w:rsidP="009A3F86">
      <w:pPr>
        <w:ind w:left="561" w:hanging="561"/>
        <w:jc w:val="both"/>
        <w:rPr>
          <w:rFonts w:cs="Arial"/>
          <w:b/>
          <w:color w:val="FF0000"/>
        </w:rPr>
      </w:pPr>
      <w:bookmarkStart w:id="1" w:name="_Hlk61530219"/>
      <w:r w:rsidRPr="00B264EC">
        <w:rPr>
          <w:rFonts w:cs="Arial"/>
          <w:b/>
        </w:rPr>
        <w:t>C</w:t>
      </w:r>
      <w:r>
        <w:rPr>
          <w:rFonts w:cs="Arial"/>
          <w:b/>
        </w:rPr>
        <w:t xml:space="preserve">orporate Anti-Fraud </w:t>
      </w:r>
      <w:r w:rsidR="00F32193">
        <w:rPr>
          <w:rFonts w:cs="Arial"/>
          <w:b/>
        </w:rPr>
        <w:t xml:space="preserve">Mid-Year </w:t>
      </w:r>
      <w:r>
        <w:rPr>
          <w:rFonts w:cs="Arial"/>
          <w:b/>
        </w:rPr>
        <w:t xml:space="preserve">Report </w:t>
      </w:r>
      <w:r w:rsidR="00F32193">
        <w:rPr>
          <w:rFonts w:cs="Arial"/>
          <w:b/>
        </w:rPr>
        <w:t xml:space="preserve">and Quarter 3 Update </w:t>
      </w:r>
      <w:r>
        <w:rPr>
          <w:rFonts w:cs="Arial"/>
          <w:b/>
        </w:rPr>
        <w:t xml:space="preserve">(Appendix </w:t>
      </w:r>
      <w:r w:rsidR="006B7409">
        <w:rPr>
          <w:rFonts w:cs="Arial"/>
          <w:b/>
        </w:rPr>
        <w:t>3</w:t>
      </w:r>
      <w:r>
        <w:rPr>
          <w:rFonts w:cs="Arial"/>
          <w:b/>
        </w:rPr>
        <w:t>)</w:t>
      </w:r>
      <w:r w:rsidRPr="00323688">
        <w:rPr>
          <w:rFonts w:cs="Arial"/>
          <w:b/>
          <w:color w:val="FF0000"/>
        </w:rPr>
        <w:t xml:space="preserve"> </w:t>
      </w:r>
    </w:p>
    <w:bookmarkEnd w:id="1"/>
    <w:p w14:paraId="51E4B0DC" w14:textId="77777777" w:rsidR="009A3F86" w:rsidRPr="00323688" w:rsidRDefault="009A3F86" w:rsidP="009A3F86">
      <w:pPr>
        <w:jc w:val="both"/>
        <w:rPr>
          <w:color w:val="FF0000"/>
          <w:szCs w:val="24"/>
        </w:rPr>
      </w:pPr>
    </w:p>
    <w:p w14:paraId="4D61BE50" w14:textId="276D1EBE" w:rsidR="009A3F86" w:rsidRDefault="009A3F86" w:rsidP="009A3F86">
      <w:pPr>
        <w:pStyle w:val="Default"/>
        <w:ind w:left="567" w:hanging="567"/>
        <w:rPr>
          <w:bCs/>
        </w:rPr>
      </w:pPr>
      <w:r w:rsidRPr="00875A0B">
        <w:t>2.</w:t>
      </w:r>
      <w:r w:rsidR="002B098C">
        <w:t>6</w:t>
      </w:r>
      <w:r w:rsidRPr="00323688">
        <w:rPr>
          <w:color w:val="FF0000"/>
        </w:rPr>
        <w:tab/>
      </w:r>
      <w:r w:rsidRPr="00E92067">
        <w:rPr>
          <w:bCs/>
        </w:rPr>
        <w:t>Of the 1</w:t>
      </w:r>
      <w:r w:rsidR="00F32193">
        <w:rPr>
          <w:bCs/>
        </w:rPr>
        <w:t>4</w:t>
      </w:r>
      <w:r w:rsidRPr="00E92067">
        <w:rPr>
          <w:bCs/>
        </w:rPr>
        <w:t xml:space="preserve"> </w:t>
      </w:r>
      <w:r w:rsidR="00935AEF" w:rsidRPr="00E92067">
        <w:rPr>
          <w:bCs/>
        </w:rPr>
        <w:t>work streams contained within the plan, 1</w:t>
      </w:r>
      <w:r w:rsidR="0016160D">
        <w:rPr>
          <w:bCs/>
        </w:rPr>
        <w:t>0 (71</w:t>
      </w:r>
      <w:r w:rsidR="00935AEF" w:rsidRPr="00E92067">
        <w:rPr>
          <w:bCs/>
        </w:rPr>
        <w:t>%) ha</w:t>
      </w:r>
      <w:r w:rsidR="0016160D">
        <w:rPr>
          <w:bCs/>
        </w:rPr>
        <w:t xml:space="preserve">ve commenced and 4 (29%) </w:t>
      </w:r>
      <w:r w:rsidR="0058356B" w:rsidRPr="00E92067">
        <w:rPr>
          <w:bCs/>
        </w:rPr>
        <w:t>have yet to commence. In terms of the five 20</w:t>
      </w:r>
      <w:r w:rsidR="002B098C">
        <w:rPr>
          <w:bCs/>
        </w:rPr>
        <w:t>20</w:t>
      </w:r>
      <w:r w:rsidR="0058356B" w:rsidRPr="00E92067">
        <w:rPr>
          <w:bCs/>
        </w:rPr>
        <w:t>/2</w:t>
      </w:r>
      <w:r w:rsidR="002B098C">
        <w:rPr>
          <w:bCs/>
        </w:rPr>
        <w:t>1</w:t>
      </w:r>
      <w:r w:rsidR="0058356B" w:rsidRPr="00E92067">
        <w:rPr>
          <w:bCs/>
        </w:rPr>
        <w:t xml:space="preserve"> performance indicators</w:t>
      </w:r>
      <w:r w:rsidRPr="00E92067">
        <w:rPr>
          <w:bCs/>
        </w:rPr>
        <w:t xml:space="preserve">, </w:t>
      </w:r>
      <w:r w:rsidR="0016160D">
        <w:rPr>
          <w:bCs/>
        </w:rPr>
        <w:t>4</w:t>
      </w:r>
      <w:r w:rsidR="00E92067" w:rsidRPr="00E92067">
        <w:rPr>
          <w:bCs/>
        </w:rPr>
        <w:t xml:space="preserve"> (</w:t>
      </w:r>
      <w:r w:rsidR="0016160D">
        <w:rPr>
          <w:bCs/>
        </w:rPr>
        <w:t>80</w:t>
      </w:r>
      <w:r w:rsidR="00E92067" w:rsidRPr="00E92067">
        <w:rPr>
          <w:bCs/>
        </w:rPr>
        <w:t xml:space="preserve">%) are being achieved with </w:t>
      </w:r>
      <w:r w:rsidR="0016160D">
        <w:rPr>
          <w:bCs/>
        </w:rPr>
        <w:t>1</w:t>
      </w:r>
      <w:r w:rsidR="00E92067" w:rsidRPr="00E92067">
        <w:rPr>
          <w:bCs/>
        </w:rPr>
        <w:t xml:space="preserve"> (</w:t>
      </w:r>
      <w:r w:rsidR="0016160D">
        <w:rPr>
          <w:bCs/>
        </w:rPr>
        <w:t>2</w:t>
      </w:r>
      <w:r w:rsidR="00E92067" w:rsidRPr="00E92067">
        <w:rPr>
          <w:bCs/>
        </w:rPr>
        <w:t xml:space="preserve">0%) </w:t>
      </w:r>
      <w:r w:rsidR="002B098C">
        <w:rPr>
          <w:bCs/>
        </w:rPr>
        <w:t>not being achieved</w:t>
      </w:r>
      <w:r w:rsidR="00E92067" w:rsidRPr="00E92067">
        <w:rPr>
          <w:bCs/>
        </w:rPr>
        <w:t>.</w:t>
      </w:r>
    </w:p>
    <w:p w14:paraId="16E05078" w14:textId="367BCB49" w:rsidR="002B098C" w:rsidRDefault="002B098C" w:rsidP="009A3F86">
      <w:pPr>
        <w:pStyle w:val="Default"/>
        <w:ind w:left="567" w:hanging="567"/>
        <w:rPr>
          <w:bCs/>
        </w:rPr>
      </w:pPr>
    </w:p>
    <w:p w14:paraId="46327221" w14:textId="05DAC7A9" w:rsidR="002B098C" w:rsidRDefault="002B098C" w:rsidP="009A3F86">
      <w:pPr>
        <w:pStyle w:val="Default"/>
        <w:ind w:left="567" w:hanging="567"/>
        <w:rPr>
          <w:bCs/>
        </w:rPr>
      </w:pPr>
      <w:r>
        <w:rPr>
          <w:bCs/>
        </w:rPr>
        <w:t>2.7</w:t>
      </w:r>
      <w:r>
        <w:rPr>
          <w:bCs/>
        </w:rPr>
        <w:tab/>
      </w:r>
      <w:bookmarkStart w:id="2" w:name="_Hlk61530337"/>
      <w:r>
        <w:rPr>
          <w:bCs/>
        </w:rPr>
        <w:t>Progress against the Fraud Plan and performance is below expectation and usual achievements at mid-year due to the challenges of the current situation.</w:t>
      </w:r>
      <w:bookmarkEnd w:id="2"/>
    </w:p>
    <w:p w14:paraId="352A5F6F" w14:textId="359BF247" w:rsidR="002B098C" w:rsidRDefault="002B098C" w:rsidP="009A3F86">
      <w:pPr>
        <w:pStyle w:val="Default"/>
        <w:ind w:left="567" w:hanging="567"/>
        <w:rPr>
          <w:bCs/>
        </w:rPr>
      </w:pPr>
    </w:p>
    <w:p w14:paraId="29F2A35B" w14:textId="2FCC8DC5" w:rsidR="002B098C" w:rsidRPr="002B098C" w:rsidRDefault="002B098C" w:rsidP="002B098C">
      <w:pPr>
        <w:pStyle w:val="Default"/>
        <w:ind w:left="567" w:hanging="567"/>
        <w:rPr>
          <w:bCs/>
        </w:rPr>
      </w:pPr>
      <w:r>
        <w:rPr>
          <w:bCs/>
        </w:rPr>
        <w:t>2.8</w:t>
      </w:r>
      <w:r>
        <w:rPr>
          <w:bCs/>
        </w:rPr>
        <w:tab/>
      </w:r>
      <w:r w:rsidRPr="002B098C">
        <w:rPr>
          <w:bCs/>
        </w:rPr>
        <w:t xml:space="preserve">The national emergency has had a significant impact upon the work of the team as </w:t>
      </w:r>
      <w:proofErr w:type="gramStart"/>
      <w:r w:rsidRPr="002B098C">
        <w:rPr>
          <w:bCs/>
        </w:rPr>
        <w:t>desk based</w:t>
      </w:r>
      <w:proofErr w:type="gramEnd"/>
      <w:r w:rsidRPr="002B098C">
        <w:rPr>
          <w:bCs/>
        </w:rPr>
        <w:t xml:space="preserve"> investigation work limits the avenues of enquir</w:t>
      </w:r>
      <w:r w:rsidR="00D948A0">
        <w:rPr>
          <w:bCs/>
        </w:rPr>
        <w:t>y</w:t>
      </w:r>
      <w:r w:rsidRPr="002B098C">
        <w:rPr>
          <w:bCs/>
        </w:rPr>
        <w:t xml:space="preserve"> </w:t>
      </w:r>
      <w:r w:rsidRPr="002B098C">
        <w:rPr>
          <w:bCs/>
        </w:rPr>
        <w:lastRenderedPageBreak/>
        <w:t xml:space="preserve">and the extent to which investigations can be progressed appropriately.  There is a need in many cases to undertake site visits and formal interviews under caution, but this has not been possible as officers have all been working from home since April 2020 and of course with the disruption of local and national restrictions on movement.  </w:t>
      </w:r>
    </w:p>
    <w:p w14:paraId="3AAA562D" w14:textId="5825C286" w:rsidR="002B098C" w:rsidRDefault="002B098C" w:rsidP="009A3F86">
      <w:pPr>
        <w:pStyle w:val="Default"/>
        <w:ind w:left="567" w:hanging="567"/>
        <w:rPr>
          <w:bCs/>
        </w:rPr>
      </w:pPr>
    </w:p>
    <w:p w14:paraId="66C0204D" w14:textId="77777777" w:rsidR="002B098C" w:rsidRPr="002B098C" w:rsidRDefault="002B098C" w:rsidP="002B098C">
      <w:pPr>
        <w:pStyle w:val="Default"/>
        <w:ind w:left="567" w:hanging="567"/>
        <w:rPr>
          <w:bCs/>
        </w:rPr>
      </w:pPr>
      <w:r>
        <w:rPr>
          <w:bCs/>
        </w:rPr>
        <w:t>2.9</w:t>
      </w:r>
      <w:r>
        <w:rPr>
          <w:bCs/>
        </w:rPr>
        <w:tab/>
      </w:r>
      <w:r w:rsidRPr="002B098C">
        <w:rPr>
          <w:bCs/>
        </w:rPr>
        <w:t xml:space="preserve">Work is well underway to establish a process of safe visiting, but at present this is not possible due to the restrictions in place.  A process of conducting both formal and informal interviews using the virtual environment is also being developed, but this is largely dependent upon officers being able to guarantee a strong internet connection to ensure that any virtual interview is not disrupted because this has legal implications for the interview being made inadmissible in any prospective legal action taken.  </w:t>
      </w:r>
    </w:p>
    <w:p w14:paraId="3BA486B7" w14:textId="595A4A4A" w:rsidR="002B098C" w:rsidRDefault="002B098C" w:rsidP="009A3F86">
      <w:pPr>
        <w:pStyle w:val="Default"/>
        <w:ind w:left="567" w:hanging="567"/>
        <w:rPr>
          <w:bCs/>
        </w:rPr>
      </w:pPr>
    </w:p>
    <w:p w14:paraId="0E51B9B9" w14:textId="766BDD9A" w:rsidR="002B098C" w:rsidRPr="002B098C" w:rsidRDefault="002B098C" w:rsidP="002B098C">
      <w:pPr>
        <w:pStyle w:val="Default"/>
        <w:ind w:left="567" w:hanging="567"/>
        <w:rPr>
          <w:bCs/>
        </w:rPr>
      </w:pPr>
      <w:r>
        <w:rPr>
          <w:bCs/>
        </w:rPr>
        <w:t>2.10</w:t>
      </w:r>
      <w:r>
        <w:rPr>
          <w:bCs/>
        </w:rPr>
        <w:tab/>
      </w:r>
      <w:r w:rsidRPr="002B098C">
        <w:rPr>
          <w:bCs/>
        </w:rPr>
        <w:t xml:space="preserve">The knock-on impact of Covid-19 more generally and the cessation of visiting and interviews can be illustrated in a number of ways by comparing performance data for the same period in 2019/20.  The number of referrals received has reduced from </w:t>
      </w:r>
      <w:r w:rsidR="0016160D">
        <w:rPr>
          <w:bCs/>
        </w:rPr>
        <w:t>75</w:t>
      </w:r>
      <w:r w:rsidRPr="002B098C">
        <w:rPr>
          <w:bCs/>
        </w:rPr>
        <w:t xml:space="preserve"> to </w:t>
      </w:r>
      <w:r w:rsidR="0016160D">
        <w:rPr>
          <w:bCs/>
        </w:rPr>
        <w:t>40</w:t>
      </w:r>
      <w:r w:rsidRPr="002B098C">
        <w:rPr>
          <w:bCs/>
        </w:rPr>
        <w:t xml:space="preserve"> for the same period; the number of positive outcomes is down from 25 to </w:t>
      </w:r>
      <w:r w:rsidR="0016160D">
        <w:rPr>
          <w:bCs/>
        </w:rPr>
        <w:t>5</w:t>
      </w:r>
      <w:r w:rsidRPr="002B098C">
        <w:rPr>
          <w:bCs/>
        </w:rPr>
        <w:t xml:space="preserve"> for the same period and in terms of the value of fraud identified, this has reduced from £1.15 million to £</w:t>
      </w:r>
      <w:r w:rsidR="0016160D">
        <w:rPr>
          <w:bCs/>
        </w:rPr>
        <w:t>242,000</w:t>
      </w:r>
      <w:r w:rsidRPr="002B098C">
        <w:rPr>
          <w:bCs/>
        </w:rPr>
        <w:t xml:space="preserve">.  The reduction in the value of outcomes is predominantly preventative, but nonetheless </w:t>
      </w:r>
      <w:r>
        <w:rPr>
          <w:bCs/>
        </w:rPr>
        <w:t xml:space="preserve">represents </w:t>
      </w:r>
      <w:r w:rsidRPr="002B098C">
        <w:rPr>
          <w:bCs/>
        </w:rPr>
        <w:t>a reduction of fraud losses stemmed.</w:t>
      </w:r>
    </w:p>
    <w:p w14:paraId="77E0D1AB" w14:textId="3CDAB927" w:rsidR="002B098C" w:rsidRDefault="002B098C" w:rsidP="009A3F86">
      <w:pPr>
        <w:pStyle w:val="Default"/>
        <w:ind w:left="567" w:hanging="567"/>
        <w:rPr>
          <w:bCs/>
        </w:rPr>
      </w:pPr>
    </w:p>
    <w:p w14:paraId="2DFDEE6D" w14:textId="7FE77B20" w:rsidR="002B098C" w:rsidRPr="00E92067" w:rsidRDefault="002B098C" w:rsidP="009A3F86">
      <w:pPr>
        <w:pStyle w:val="Default"/>
        <w:ind w:left="567" w:hanging="567"/>
        <w:rPr>
          <w:bCs/>
        </w:rPr>
      </w:pPr>
      <w:r>
        <w:rPr>
          <w:bCs/>
        </w:rPr>
        <w:t>2.11</w:t>
      </w:r>
      <w:r w:rsidR="009C024A">
        <w:rPr>
          <w:bCs/>
        </w:rPr>
        <w:tab/>
      </w:r>
      <w:r w:rsidR="009C024A" w:rsidRPr="009C024A">
        <w:rPr>
          <w:bCs/>
        </w:rPr>
        <w:t>The recommencement of interviewing will go a l</w:t>
      </w:r>
      <w:r w:rsidR="009C024A">
        <w:rPr>
          <w:bCs/>
        </w:rPr>
        <w:t>ong</w:t>
      </w:r>
      <w:r w:rsidR="009C024A" w:rsidRPr="009C024A">
        <w:rPr>
          <w:bCs/>
        </w:rPr>
        <w:t xml:space="preserve"> way to reinstating the fraud deterrent, improving positive outcomes and improving fraud risk resilience for the authority, but this will be subject to technology hurdles.  A restart of site visiting will also improve fraud risk </w:t>
      </w:r>
      <w:proofErr w:type="gramStart"/>
      <w:r w:rsidR="009C024A" w:rsidRPr="009C024A">
        <w:rPr>
          <w:bCs/>
        </w:rPr>
        <w:t>resilience</w:t>
      </w:r>
      <w:proofErr w:type="gramEnd"/>
      <w:r w:rsidR="009C024A" w:rsidRPr="009C024A">
        <w:rPr>
          <w:bCs/>
        </w:rPr>
        <w:t xml:space="preserve"> but this </w:t>
      </w:r>
      <w:r w:rsidR="009C024A">
        <w:rPr>
          <w:bCs/>
        </w:rPr>
        <w:t>will be</w:t>
      </w:r>
      <w:r w:rsidR="009C024A" w:rsidRPr="009C024A">
        <w:rPr>
          <w:bCs/>
        </w:rPr>
        <w:t xml:space="preserve"> depend</w:t>
      </w:r>
      <w:r w:rsidR="00D948A0">
        <w:rPr>
          <w:bCs/>
        </w:rPr>
        <w:t>e</w:t>
      </w:r>
      <w:r w:rsidR="009C024A" w:rsidRPr="009C024A">
        <w:rPr>
          <w:bCs/>
        </w:rPr>
        <w:t>nt upon the national and local Covid-19 restrictions in place</w:t>
      </w:r>
      <w:r w:rsidR="009C024A">
        <w:rPr>
          <w:bCs/>
        </w:rPr>
        <w:t>.</w:t>
      </w:r>
    </w:p>
    <w:p w14:paraId="39CEED76" w14:textId="77777777" w:rsidR="009A3F86" w:rsidRPr="00815075" w:rsidRDefault="009A3F86" w:rsidP="009A3F86">
      <w:pPr>
        <w:pStyle w:val="Default"/>
        <w:ind w:left="567" w:hanging="567"/>
        <w:rPr>
          <w:bCs/>
          <w:highlight w:val="yellow"/>
        </w:rPr>
      </w:pPr>
    </w:p>
    <w:p w14:paraId="52789F02" w14:textId="77777777" w:rsidR="00213BE7" w:rsidRDefault="00213BE7" w:rsidP="00213BE7">
      <w:pPr>
        <w:pStyle w:val="Heading2"/>
      </w:pPr>
      <w:r>
        <w:t>Legal Implications</w:t>
      </w:r>
    </w:p>
    <w:p w14:paraId="7878F314" w14:textId="77777777" w:rsidR="00213BE7" w:rsidRDefault="00213BE7" w:rsidP="00213BE7">
      <w:pPr>
        <w:pStyle w:val="Heading4"/>
        <w:keepNext w:val="0"/>
        <w:rPr>
          <w:b w:val="0"/>
        </w:rPr>
      </w:pPr>
    </w:p>
    <w:p w14:paraId="531240EC" w14:textId="77777777" w:rsidR="00815075" w:rsidRPr="00F25CA1" w:rsidRDefault="00E92067" w:rsidP="00C92EED">
      <w:pPr>
        <w:pStyle w:val="Default"/>
        <w:ind w:left="567" w:hanging="567"/>
      </w:pPr>
      <w:r>
        <w:t>2.5</w:t>
      </w:r>
      <w:r>
        <w:tab/>
        <w:t xml:space="preserve">The </w:t>
      </w:r>
      <w:r w:rsidR="00815075" w:rsidRPr="00F25CA1">
        <w:t>Accounts &amp; Audit Regulations 2015</w:t>
      </w:r>
      <w:r>
        <w:t>:</w:t>
      </w:r>
    </w:p>
    <w:p w14:paraId="7E5184E8" w14:textId="77777777" w:rsidR="00815075" w:rsidRPr="00F25CA1" w:rsidRDefault="00815075" w:rsidP="00815075">
      <w:pPr>
        <w:rPr>
          <w:rFonts w:cs="Arial"/>
          <w:szCs w:val="24"/>
        </w:rPr>
      </w:pPr>
    </w:p>
    <w:p w14:paraId="1864BD0F" w14:textId="77777777" w:rsidR="00815075" w:rsidRPr="00F25CA1" w:rsidRDefault="00815075" w:rsidP="00C92EED">
      <w:pPr>
        <w:pStyle w:val="Default"/>
        <w:ind w:left="567"/>
        <w:rPr>
          <w:b/>
          <w:bCs/>
        </w:rPr>
      </w:pPr>
      <w:r w:rsidRPr="00F25CA1">
        <w:rPr>
          <w:b/>
          <w:bCs/>
        </w:rPr>
        <w:t>Internal audit</w:t>
      </w:r>
    </w:p>
    <w:p w14:paraId="6BB596D4" w14:textId="77777777" w:rsidR="00815075" w:rsidRPr="00F25CA1" w:rsidRDefault="00815075" w:rsidP="00C92EED">
      <w:pPr>
        <w:pStyle w:val="Default"/>
        <w:ind w:left="567"/>
      </w:pPr>
      <w:r w:rsidRPr="00F25CA1">
        <w:rPr>
          <w:b/>
          <w:bCs/>
        </w:rPr>
        <w:t>5.</w:t>
      </w:r>
      <w:r w:rsidRPr="00F25CA1">
        <w:t>—(1) A relevant authority must undertake an effective internal audit to evaluate the</w:t>
      </w:r>
      <w:r>
        <w:t xml:space="preserve"> </w:t>
      </w:r>
      <w:r w:rsidRPr="00F25CA1">
        <w:t>effectiveness of its risk management, control and governance processes, taking into account public</w:t>
      </w:r>
      <w:r>
        <w:t xml:space="preserve"> </w:t>
      </w:r>
      <w:r w:rsidRPr="00F25CA1">
        <w:t>sector internal auditing standards or guidance.</w:t>
      </w:r>
    </w:p>
    <w:p w14:paraId="30682D91" w14:textId="77777777" w:rsidR="00213BE7" w:rsidRDefault="00213BE7">
      <w:pPr>
        <w:pStyle w:val="Heading2"/>
      </w:pPr>
    </w:p>
    <w:p w14:paraId="27A8D28B" w14:textId="77777777" w:rsidR="002A2389" w:rsidRDefault="002A2389">
      <w:pPr>
        <w:pStyle w:val="Heading2"/>
      </w:pPr>
      <w:r>
        <w:t>Financial Implications</w:t>
      </w:r>
    </w:p>
    <w:p w14:paraId="12A1E12F" w14:textId="77777777" w:rsidR="002C1794" w:rsidRDefault="002C1794"/>
    <w:p w14:paraId="674894E0" w14:textId="77777777" w:rsidR="002A2389" w:rsidRDefault="00E92067" w:rsidP="00E92067">
      <w:pPr>
        <w:pStyle w:val="Default"/>
        <w:ind w:left="567" w:hanging="567"/>
      </w:pPr>
      <w:r>
        <w:t xml:space="preserve">2.6 </w:t>
      </w:r>
      <w:r>
        <w:tab/>
      </w:r>
      <w:r w:rsidR="00815075">
        <w:t>There are no financial implications to this report.  The Internal Audit Service and the Corporate Anti-Fraud Service are provided within the set service budgets.</w:t>
      </w:r>
    </w:p>
    <w:p w14:paraId="6684362E" w14:textId="77777777" w:rsidR="00FF71E5" w:rsidRDefault="00FF71E5"/>
    <w:p w14:paraId="791F769F" w14:textId="77777777" w:rsidR="00E92067" w:rsidRDefault="00E92067">
      <w:pPr>
        <w:rPr>
          <w:rFonts w:cs="Arial"/>
          <w:b/>
          <w:bCs/>
          <w:sz w:val="28"/>
          <w:szCs w:val="32"/>
        </w:rPr>
      </w:pPr>
      <w:r>
        <w:br w:type="page"/>
      </w:r>
    </w:p>
    <w:p w14:paraId="4716B1E4" w14:textId="77777777" w:rsidR="00C32DAE" w:rsidRDefault="00C32DAE" w:rsidP="00E02B50">
      <w:pPr>
        <w:pStyle w:val="Heading2"/>
      </w:pPr>
      <w:r>
        <w:lastRenderedPageBreak/>
        <w:t>Risk Management Implications</w:t>
      </w:r>
    </w:p>
    <w:p w14:paraId="4CB342AE" w14:textId="77777777" w:rsidR="00C32DAE" w:rsidRDefault="00C32DAE" w:rsidP="00C32DAE">
      <w:pPr>
        <w:pStyle w:val="Heading1"/>
        <w:rPr>
          <w:b/>
          <w:sz w:val="24"/>
          <w:szCs w:val="24"/>
        </w:rPr>
      </w:pPr>
    </w:p>
    <w:p w14:paraId="1411F8A9" w14:textId="77777777" w:rsidR="00815075" w:rsidRPr="00F25CA1" w:rsidRDefault="00E92067" w:rsidP="00E92067">
      <w:pPr>
        <w:pStyle w:val="Default"/>
        <w:ind w:left="567" w:hanging="567"/>
      </w:pPr>
      <w:r>
        <w:t xml:space="preserve">2.7 </w:t>
      </w:r>
      <w:r>
        <w:tab/>
      </w:r>
      <w:r w:rsidR="00815075">
        <w:t xml:space="preserve">There are no risk management implications to this report. Both the Internal Audit Plan and the Corporate Anti-Fraud Plan and any reactive work undertaken </w:t>
      </w:r>
      <w:r w:rsidR="00E85A55">
        <w:t xml:space="preserve">are risk based. </w:t>
      </w:r>
    </w:p>
    <w:p w14:paraId="107D3102" w14:textId="77777777" w:rsidR="00FD31A0" w:rsidRDefault="00FD31A0" w:rsidP="00C32DAE">
      <w:pPr>
        <w:ind w:right="141"/>
        <w:rPr>
          <w:rFonts w:cs="Arial"/>
          <w:szCs w:val="24"/>
          <w:lang w:val="en-US"/>
        </w:rPr>
      </w:pPr>
    </w:p>
    <w:p w14:paraId="2DCDC363" w14:textId="77777777" w:rsidR="00FD31A0" w:rsidRPr="004A2543" w:rsidRDefault="00FD31A0" w:rsidP="00FD31A0">
      <w:pPr>
        <w:pStyle w:val="Heading2"/>
        <w:keepNext/>
      </w:pPr>
      <w:r w:rsidRPr="004A2543">
        <w:t>Equalities implications</w:t>
      </w:r>
      <w:r w:rsidR="00213BE7">
        <w:t xml:space="preserve"> / Public Sector Equality Duty </w:t>
      </w:r>
    </w:p>
    <w:p w14:paraId="49CD8681" w14:textId="77777777" w:rsidR="00FD31A0" w:rsidRDefault="00FD31A0" w:rsidP="00FD31A0">
      <w:pPr>
        <w:keepNext/>
      </w:pPr>
    </w:p>
    <w:p w14:paraId="6CADDF06" w14:textId="77777777" w:rsidR="00900464" w:rsidRDefault="00E92067" w:rsidP="00E92067">
      <w:pPr>
        <w:pStyle w:val="Default"/>
        <w:ind w:left="567" w:hanging="567"/>
        <w:rPr>
          <w:lang w:val="en-US"/>
        </w:rPr>
      </w:pPr>
      <w:r>
        <w:t>2.8</w:t>
      </w:r>
      <w:r>
        <w:tab/>
      </w:r>
      <w:r w:rsidR="00E85A55">
        <w:t>There are no equalities implications to this report.</w:t>
      </w:r>
    </w:p>
    <w:p w14:paraId="6551D30D" w14:textId="77777777" w:rsidR="00213BE7" w:rsidRDefault="00213BE7" w:rsidP="00C32DAE">
      <w:pPr>
        <w:ind w:right="141"/>
        <w:rPr>
          <w:rFonts w:cs="Arial"/>
          <w:szCs w:val="24"/>
          <w:lang w:val="en-US"/>
        </w:rPr>
      </w:pPr>
    </w:p>
    <w:p w14:paraId="0F1A8CE4" w14:textId="77777777" w:rsidR="004B4A47" w:rsidRPr="00CD57D8" w:rsidRDefault="00AC0AAB" w:rsidP="004B4A47">
      <w:pPr>
        <w:pStyle w:val="Heading2"/>
      </w:pPr>
      <w:r>
        <w:t xml:space="preserve">Council </w:t>
      </w:r>
      <w:r w:rsidR="004B4A47" w:rsidRPr="00CD57D8">
        <w:t>Priorities</w:t>
      </w:r>
    </w:p>
    <w:p w14:paraId="089BC147" w14:textId="77777777" w:rsidR="004B4A47" w:rsidRPr="00CD57D8" w:rsidRDefault="004B4A47" w:rsidP="004B4A47">
      <w:pPr>
        <w:keepNext/>
        <w:ind w:right="144"/>
        <w:rPr>
          <w:rFonts w:cs="Arial"/>
          <w:szCs w:val="24"/>
          <w:lang w:val="en-US"/>
        </w:rPr>
      </w:pPr>
    </w:p>
    <w:p w14:paraId="5A5267FB" w14:textId="77777777" w:rsidR="00E85A55" w:rsidRPr="00612A64" w:rsidRDefault="00E92067" w:rsidP="00E92067">
      <w:pPr>
        <w:pStyle w:val="Default"/>
        <w:ind w:left="567" w:hanging="567"/>
        <w:rPr>
          <w:lang w:val="en-US"/>
        </w:rPr>
      </w:pPr>
      <w:r>
        <w:rPr>
          <w:lang w:val="en-US"/>
        </w:rPr>
        <w:t xml:space="preserve">2.9 </w:t>
      </w:r>
      <w:r>
        <w:rPr>
          <w:lang w:val="en-US"/>
        </w:rPr>
        <w:tab/>
      </w:r>
      <w:r w:rsidR="00E85A55">
        <w:rPr>
          <w:lang w:val="en-US"/>
        </w:rPr>
        <w:t xml:space="preserve">Both the Internal Audit Service and Corporate Anti-Fraud Service contribute to all the </w:t>
      </w:r>
      <w:r w:rsidR="00E85A55" w:rsidRPr="00932BF4">
        <w:rPr>
          <w:lang w:val="en-US"/>
        </w:rPr>
        <w:t>corporate priorit</w:t>
      </w:r>
      <w:r w:rsidR="00E85A55">
        <w:rPr>
          <w:lang w:val="en-US"/>
        </w:rPr>
        <w:t>ies by enhancing the robustness of the control environment and governance mechanisms that directly or indirectly support these priorities.</w:t>
      </w:r>
    </w:p>
    <w:p w14:paraId="266BE1F3" w14:textId="77777777" w:rsidR="001B441D" w:rsidRPr="007B7BAC" w:rsidRDefault="001B441D" w:rsidP="001B441D">
      <w:pPr>
        <w:rPr>
          <w:rFonts w:cs="Arial"/>
        </w:rPr>
      </w:pPr>
    </w:p>
    <w:p w14:paraId="13C7F1FC" w14:textId="77777777"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14:paraId="789B07B1" w14:textId="77777777" w:rsidR="002A2389" w:rsidRDefault="002A2389" w:rsidP="008D1750">
      <w:pPr>
        <w:pStyle w:val="Heading1"/>
        <w:keepNext/>
      </w:pPr>
      <w:r>
        <w:t>Section 3 - Statutory Officer Clearance</w:t>
      </w:r>
    </w:p>
    <w:p w14:paraId="6E830583" w14:textId="77777777" w:rsidR="002A2389" w:rsidRDefault="002A2389" w:rsidP="008D1750">
      <w:pPr>
        <w:keepNext/>
        <w:rPr>
          <w:rFonts w:cs="Arial"/>
        </w:rPr>
      </w:pPr>
    </w:p>
    <w:p w14:paraId="3377684E" w14:textId="77777777" w:rsidR="00E92067" w:rsidRDefault="00E92067" w:rsidP="008D1750">
      <w:pPr>
        <w:keepNext/>
        <w:rPr>
          <w:rFonts w:cs="Arial"/>
        </w:rPr>
      </w:pPr>
      <w:r w:rsidRPr="00E92067">
        <w:rPr>
          <w:rFonts w:cs="Arial"/>
        </w:rPr>
        <w:t xml:space="preserve">3.1 </w:t>
      </w:r>
      <w:r w:rsidRPr="00E92067">
        <w:rPr>
          <w:rFonts w:cs="Arial"/>
        </w:rPr>
        <w:tab/>
        <w:t>As this report is for information only</w:t>
      </w:r>
      <w:r w:rsidR="00B13A18">
        <w:rPr>
          <w:rFonts w:cs="Arial"/>
        </w:rPr>
        <w:t xml:space="preserve"> it has been decided that</w:t>
      </w:r>
      <w:r w:rsidRPr="00E92067">
        <w:rPr>
          <w:rFonts w:cs="Arial"/>
        </w:rPr>
        <w:t xml:space="preserve"> no Statutory Officer Clearance is required.</w:t>
      </w:r>
    </w:p>
    <w:p w14:paraId="06E9399A" w14:textId="77777777" w:rsidR="002A2389" w:rsidRDefault="002A2389"/>
    <w:p w14:paraId="3C538470" w14:textId="77777777"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3278"/>
      </w:tblGrid>
      <w:tr w:rsidR="000B0E6F" w14:paraId="71BBFD09" w14:textId="77777777">
        <w:trPr>
          <w:trHeight w:val="965"/>
        </w:trPr>
        <w:tc>
          <w:tcPr>
            <w:tcW w:w="3025" w:type="pct"/>
            <w:tcBorders>
              <w:right w:val="nil"/>
            </w:tcBorders>
          </w:tcPr>
          <w:p w14:paraId="6B0C9F11" w14:textId="77777777" w:rsidR="00E92067" w:rsidRDefault="00E92067" w:rsidP="008D7800">
            <w:pPr>
              <w:pStyle w:val="Infotext"/>
              <w:rPr>
                <w:rFonts w:ascii="Arial Black" w:hAnsi="Arial Black"/>
              </w:rPr>
            </w:pPr>
          </w:p>
          <w:p w14:paraId="5E3F3BF8" w14:textId="77777777" w:rsidR="000B0E6F" w:rsidRDefault="000B0E6F" w:rsidP="008D7800">
            <w:pPr>
              <w:pStyle w:val="Infotext"/>
              <w:rPr>
                <w:rFonts w:ascii="Arial Black" w:hAnsi="Arial Black"/>
              </w:rPr>
            </w:pPr>
            <w:r>
              <w:rPr>
                <w:rFonts w:ascii="Arial Black" w:hAnsi="Arial Black"/>
              </w:rPr>
              <w:t>Ward Councillors notified:</w:t>
            </w:r>
          </w:p>
          <w:p w14:paraId="3AEC8F68" w14:textId="77777777" w:rsidR="000B0E6F" w:rsidRDefault="000B0E6F" w:rsidP="008D7800">
            <w:pPr>
              <w:pStyle w:val="Infotext"/>
            </w:pPr>
          </w:p>
        </w:tc>
        <w:tc>
          <w:tcPr>
            <w:tcW w:w="1975" w:type="pct"/>
            <w:tcBorders>
              <w:left w:val="nil"/>
            </w:tcBorders>
          </w:tcPr>
          <w:p w14:paraId="20465B5B" w14:textId="77777777" w:rsidR="000B0E6F" w:rsidRDefault="000B0E6F" w:rsidP="008D7800">
            <w:pPr>
              <w:pStyle w:val="Infotext"/>
            </w:pPr>
          </w:p>
          <w:p w14:paraId="462B6BFA" w14:textId="77777777" w:rsidR="000B0E6F" w:rsidRPr="00A406F3" w:rsidRDefault="000B0E6F" w:rsidP="008D7800">
            <w:pPr>
              <w:pStyle w:val="Infotext"/>
              <w:spacing w:before="120"/>
              <w:rPr>
                <w:b/>
              </w:rPr>
            </w:pPr>
            <w:r w:rsidRPr="00A406F3">
              <w:rPr>
                <w:b/>
              </w:rPr>
              <w:t xml:space="preserve">NO </w:t>
            </w:r>
          </w:p>
          <w:p w14:paraId="0ADA3F53" w14:textId="77777777" w:rsidR="000B0E6F" w:rsidRPr="003D78F6" w:rsidRDefault="000B0E6F" w:rsidP="00E92067">
            <w:pPr>
              <w:pStyle w:val="Infotext"/>
              <w:rPr>
                <w:i/>
                <w:sz w:val="24"/>
                <w:szCs w:val="24"/>
              </w:rPr>
            </w:pPr>
          </w:p>
        </w:tc>
      </w:tr>
    </w:tbl>
    <w:p w14:paraId="53E730B7" w14:textId="77777777" w:rsidR="000B0E6F" w:rsidRDefault="000B0E6F"/>
    <w:p w14:paraId="6744AC6D" w14:textId="77777777" w:rsidR="000B0E6F" w:rsidRDefault="000B0E6F"/>
    <w:p w14:paraId="5097CA88" w14:textId="77777777" w:rsidR="002A2389" w:rsidRDefault="002A2389" w:rsidP="008D1750">
      <w:pPr>
        <w:pStyle w:val="Heading1"/>
        <w:keepNext/>
      </w:pPr>
      <w:r>
        <w:t>Section 4 - Contact Details and Background Papers</w:t>
      </w:r>
    </w:p>
    <w:p w14:paraId="6A41A3B0" w14:textId="77777777" w:rsidR="002A2389" w:rsidRDefault="002A2389" w:rsidP="008D1750">
      <w:pPr>
        <w:keepNext/>
        <w:rPr>
          <w:rFonts w:cs="Arial"/>
        </w:rPr>
      </w:pPr>
    </w:p>
    <w:p w14:paraId="7331806F" w14:textId="77777777" w:rsidR="002A2389" w:rsidRDefault="002A2389"/>
    <w:p w14:paraId="4D1918EF" w14:textId="77777777" w:rsidR="00BF0F86" w:rsidRDefault="002A2389" w:rsidP="00BF0F86">
      <w:pPr>
        <w:ind w:left="1309" w:hanging="1309"/>
        <w:rPr>
          <w:rFonts w:cs="Arial"/>
          <w:szCs w:val="24"/>
        </w:rPr>
      </w:pPr>
      <w:r w:rsidRPr="00D914D2">
        <w:rPr>
          <w:b/>
        </w:rPr>
        <w:t>Contact:</w:t>
      </w:r>
      <w:r>
        <w:t xml:space="preserve">  </w:t>
      </w:r>
      <w:r w:rsidR="00BF0F86">
        <w:tab/>
      </w:r>
      <w:r w:rsidR="00BF0F86" w:rsidRPr="000E3CBD">
        <w:rPr>
          <w:rFonts w:cs="Arial"/>
          <w:szCs w:val="24"/>
        </w:rPr>
        <w:t xml:space="preserve">Susan Dixson, </w:t>
      </w:r>
      <w:r w:rsidR="00BF0F86">
        <w:rPr>
          <w:rFonts w:cs="Arial"/>
          <w:szCs w:val="24"/>
        </w:rPr>
        <w:t xml:space="preserve">Head of </w:t>
      </w:r>
      <w:r w:rsidR="00BF0F86" w:rsidRPr="000E3CBD">
        <w:rPr>
          <w:rFonts w:cs="Arial"/>
          <w:szCs w:val="24"/>
        </w:rPr>
        <w:t>Internal Audit</w:t>
      </w:r>
      <w:r w:rsidR="00BF0F86">
        <w:rPr>
          <w:rFonts w:cs="Arial"/>
          <w:szCs w:val="24"/>
        </w:rPr>
        <w:t xml:space="preserve"> &amp; Corporate Anti-Fraud</w:t>
      </w:r>
      <w:r w:rsidR="00BF0F86" w:rsidRPr="000E3CBD">
        <w:rPr>
          <w:rFonts w:cs="Arial"/>
          <w:szCs w:val="24"/>
        </w:rPr>
        <w:t xml:space="preserve">, </w:t>
      </w:r>
    </w:p>
    <w:p w14:paraId="56DE7758" w14:textId="77777777" w:rsidR="00BF0F86" w:rsidRDefault="00BF0F86" w:rsidP="00BF0F86">
      <w:pPr>
        <w:ind w:left="589" w:firstLine="720"/>
        <w:rPr>
          <w:rFonts w:cs="Arial"/>
          <w:szCs w:val="24"/>
        </w:rPr>
      </w:pPr>
      <w:r w:rsidRPr="000E3CBD">
        <w:rPr>
          <w:rFonts w:cs="Arial"/>
          <w:szCs w:val="24"/>
        </w:rPr>
        <w:t>Tel:</w:t>
      </w:r>
      <w:r>
        <w:rPr>
          <w:rFonts w:cs="Arial"/>
          <w:szCs w:val="24"/>
        </w:rPr>
        <w:t xml:space="preserve"> </w:t>
      </w:r>
      <w:r w:rsidRPr="000E3CBD">
        <w:rPr>
          <w:rFonts w:cs="Arial"/>
          <w:szCs w:val="24"/>
        </w:rPr>
        <w:t>0208 424 1420</w:t>
      </w:r>
    </w:p>
    <w:p w14:paraId="2F9541BD" w14:textId="77777777" w:rsidR="00BF0F86" w:rsidRDefault="00BF0F86" w:rsidP="00BF0F86">
      <w:pPr>
        <w:ind w:left="1309" w:hanging="1309"/>
        <w:rPr>
          <w:rFonts w:cs="Arial"/>
          <w:b/>
          <w:sz w:val="28"/>
        </w:rPr>
      </w:pPr>
      <w:r>
        <w:rPr>
          <w:rFonts w:cs="Arial"/>
          <w:b/>
          <w:sz w:val="28"/>
        </w:rPr>
        <w:tab/>
      </w:r>
    </w:p>
    <w:p w14:paraId="0C07B02D" w14:textId="77777777" w:rsidR="00BF0F86" w:rsidRDefault="00BF0F86" w:rsidP="00BF0F86">
      <w:pPr>
        <w:ind w:left="1309"/>
        <w:rPr>
          <w:rFonts w:cs="Arial"/>
          <w:szCs w:val="24"/>
        </w:rPr>
      </w:pPr>
      <w:r>
        <w:rPr>
          <w:rFonts w:cs="Arial"/>
          <w:szCs w:val="24"/>
        </w:rPr>
        <w:t>Justin Phillips, Corporate Anti-Fraud Service Manager</w:t>
      </w:r>
    </w:p>
    <w:p w14:paraId="1DFE70E3" w14:textId="77777777" w:rsidR="002A2389" w:rsidRPr="00C92EED" w:rsidRDefault="00BF0F86" w:rsidP="00BF0F86">
      <w:pPr>
        <w:pStyle w:val="Infotext"/>
        <w:ind w:left="589" w:firstLine="720"/>
        <w:rPr>
          <w:sz w:val="24"/>
          <w:szCs w:val="24"/>
        </w:rPr>
      </w:pPr>
      <w:r w:rsidRPr="00C92EED">
        <w:rPr>
          <w:rFonts w:cs="Arial"/>
          <w:sz w:val="24"/>
          <w:szCs w:val="24"/>
        </w:rPr>
        <w:t>Tel: 0208 424 1609</w:t>
      </w:r>
    </w:p>
    <w:p w14:paraId="453D7354" w14:textId="77777777" w:rsidR="002A2389" w:rsidRDefault="002A2389"/>
    <w:p w14:paraId="617E4690" w14:textId="77777777" w:rsidR="002A2389" w:rsidRDefault="002A2389"/>
    <w:p w14:paraId="4465F57A" w14:textId="77777777" w:rsidR="002A2389" w:rsidRDefault="002A2389">
      <w:pPr>
        <w:pStyle w:val="Infotext"/>
      </w:pPr>
      <w:r w:rsidRPr="00D914D2">
        <w:rPr>
          <w:b/>
        </w:rPr>
        <w:t>Background Papers</w:t>
      </w:r>
      <w:r>
        <w:t xml:space="preserve">:  </w:t>
      </w:r>
      <w:r w:rsidR="00BF0F86">
        <w:t>None</w:t>
      </w:r>
    </w:p>
    <w:p w14:paraId="16872A21" w14:textId="77777777" w:rsidR="002A2389" w:rsidRDefault="002A2389"/>
    <w:p w14:paraId="5A68018A" w14:textId="77777777" w:rsidR="00FF71E5" w:rsidRDefault="00FF71E5"/>
    <w:p w14:paraId="630FE4E5"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71FE8" w14:textId="77777777" w:rsidR="00E609EF" w:rsidRDefault="00E609EF">
      <w:r>
        <w:separator/>
      </w:r>
    </w:p>
  </w:endnote>
  <w:endnote w:type="continuationSeparator" w:id="0">
    <w:p w14:paraId="5B6C2DEE"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EC44" w14:textId="77777777" w:rsidR="00E609EF" w:rsidRDefault="00E609EF">
      <w:r>
        <w:separator/>
      </w:r>
    </w:p>
  </w:footnote>
  <w:footnote w:type="continuationSeparator" w:id="0">
    <w:p w14:paraId="5111889E"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0"/>
  </w:num>
  <w:num w:numId="11">
    <w:abstractNumId w:val="13"/>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57F10"/>
    <w:rsid w:val="000633A2"/>
    <w:rsid w:val="00071EB4"/>
    <w:rsid w:val="00077298"/>
    <w:rsid w:val="000A58A1"/>
    <w:rsid w:val="000A6659"/>
    <w:rsid w:val="000B0E6F"/>
    <w:rsid w:val="000B6DBB"/>
    <w:rsid w:val="000D2BF2"/>
    <w:rsid w:val="000F65C0"/>
    <w:rsid w:val="00157E9B"/>
    <w:rsid w:val="0016160D"/>
    <w:rsid w:val="001939BA"/>
    <w:rsid w:val="001A6EB0"/>
    <w:rsid w:val="001B441D"/>
    <w:rsid w:val="001C5225"/>
    <w:rsid w:val="001E0219"/>
    <w:rsid w:val="001E1D87"/>
    <w:rsid w:val="00213BE7"/>
    <w:rsid w:val="00231A1D"/>
    <w:rsid w:val="00244120"/>
    <w:rsid w:val="002667E7"/>
    <w:rsid w:val="00293F9F"/>
    <w:rsid w:val="002A2389"/>
    <w:rsid w:val="002B098C"/>
    <w:rsid w:val="002C08E2"/>
    <w:rsid w:val="002C1794"/>
    <w:rsid w:val="002E6637"/>
    <w:rsid w:val="002E77E3"/>
    <w:rsid w:val="00306EE3"/>
    <w:rsid w:val="00332947"/>
    <w:rsid w:val="00333EB4"/>
    <w:rsid w:val="00345915"/>
    <w:rsid w:val="00400032"/>
    <w:rsid w:val="0042394B"/>
    <w:rsid w:val="00473B08"/>
    <w:rsid w:val="00474B5F"/>
    <w:rsid w:val="004A3CE6"/>
    <w:rsid w:val="004B2C9D"/>
    <w:rsid w:val="004B4A47"/>
    <w:rsid w:val="004E667D"/>
    <w:rsid w:val="004E6AF9"/>
    <w:rsid w:val="0058356B"/>
    <w:rsid w:val="00595384"/>
    <w:rsid w:val="00596D93"/>
    <w:rsid w:val="00597314"/>
    <w:rsid w:val="005A61AF"/>
    <w:rsid w:val="005D0886"/>
    <w:rsid w:val="005E384D"/>
    <w:rsid w:val="005F2181"/>
    <w:rsid w:val="005F724B"/>
    <w:rsid w:val="0063072B"/>
    <w:rsid w:val="0065213E"/>
    <w:rsid w:val="00662891"/>
    <w:rsid w:val="006628B7"/>
    <w:rsid w:val="00675FCB"/>
    <w:rsid w:val="00694E3D"/>
    <w:rsid w:val="006B7409"/>
    <w:rsid w:val="006C3914"/>
    <w:rsid w:val="006D3648"/>
    <w:rsid w:val="0074184E"/>
    <w:rsid w:val="00743829"/>
    <w:rsid w:val="00755F8D"/>
    <w:rsid w:val="00796503"/>
    <w:rsid w:val="007D2BDA"/>
    <w:rsid w:val="007D56C8"/>
    <w:rsid w:val="007E3934"/>
    <w:rsid w:val="007E7303"/>
    <w:rsid w:val="00815075"/>
    <w:rsid w:val="008212A0"/>
    <w:rsid w:val="00837F53"/>
    <w:rsid w:val="008B1B59"/>
    <w:rsid w:val="008D1750"/>
    <w:rsid w:val="008D7800"/>
    <w:rsid w:val="008E2910"/>
    <w:rsid w:val="008E4913"/>
    <w:rsid w:val="00900464"/>
    <w:rsid w:val="0090100E"/>
    <w:rsid w:val="00903131"/>
    <w:rsid w:val="00935AEF"/>
    <w:rsid w:val="0093767E"/>
    <w:rsid w:val="00972A02"/>
    <w:rsid w:val="0099517C"/>
    <w:rsid w:val="009A0937"/>
    <w:rsid w:val="009A3F86"/>
    <w:rsid w:val="009B2ECD"/>
    <w:rsid w:val="009B7914"/>
    <w:rsid w:val="009C024A"/>
    <w:rsid w:val="009E068B"/>
    <w:rsid w:val="009F430B"/>
    <w:rsid w:val="00A566E7"/>
    <w:rsid w:val="00A56C28"/>
    <w:rsid w:val="00A940D3"/>
    <w:rsid w:val="00A96FCA"/>
    <w:rsid w:val="00AA4BE8"/>
    <w:rsid w:val="00AC0AAB"/>
    <w:rsid w:val="00AC7BA9"/>
    <w:rsid w:val="00B0425E"/>
    <w:rsid w:val="00B13A18"/>
    <w:rsid w:val="00B63F5C"/>
    <w:rsid w:val="00B900E2"/>
    <w:rsid w:val="00B9118E"/>
    <w:rsid w:val="00BD684A"/>
    <w:rsid w:val="00BF0F86"/>
    <w:rsid w:val="00C32DAE"/>
    <w:rsid w:val="00C40E24"/>
    <w:rsid w:val="00C92D9A"/>
    <w:rsid w:val="00C92EED"/>
    <w:rsid w:val="00C96EF5"/>
    <w:rsid w:val="00D32B51"/>
    <w:rsid w:val="00D34668"/>
    <w:rsid w:val="00D3740E"/>
    <w:rsid w:val="00D40335"/>
    <w:rsid w:val="00D82F57"/>
    <w:rsid w:val="00D841A5"/>
    <w:rsid w:val="00D914D2"/>
    <w:rsid w:val="00D948A0"/>
    <w:rsid w:val="00DA25DB"/>
    <w:rsid w:val="00DD4251"/>
    <w:rsid w:val="00E02B50"/>
    <w:rsid w:val="00E03F11"/>
    <w:rsid w:val="00E06DC8"/>
    <w:rsid w:val="00E220B5"/>
    <w:rsid w:val="00E33D93"/>
    <w:rsid w:val="00E4438C"/>
    <w:rsid w:val="00E609EF"/>
    <w:rsid w:val="00E8515B"/>
    <w:rsid w:val="00E85A55"/>
    <w:rsid w:val="00E92067"/>
    <w:rsid w:val="00EF2F91"/>
    <w:rsid w:val="00F32193"/>
    <w:rsid w:val="00F33EE3"/>
    <w:rsid w:val="00F4195B"/>
    <w:rsid w:val="00F4213B"/>
    <w:rsid w:val="00F849ED"/>
    <w:rsid w:val="00F92398"/>
    <w:rsid w:val="00FD31A0"/>
    <w:rsid w:val="00FF4E1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46CEAD8"/>
  <w15:docId w15:val="{409972F7-13FB-46A5-A629-BC5B44B4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Default">
    <w:name w:val="Default"/>
    <w:rsid w:val="009A3F86"/>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semiHidden/>
    <w:unhideWhenUsed/>
    <w:rsid w:val="00B63F5C"/>
    <w:rPr>
      <w:sz w:val="16"/>
      <w:szCs w:val="16"/>
    </w:rPr>
  </w:style>
  <w:style w:type="paragraph" w:styleId="CommentText">
    <w:name w:val="annotation text"/>
    <w:basedOn w:val="Normal"/>
    <w:link w:val="CommentTextChar"/>
    <w:semiHidden/>
    <w:unhideWhenUsed/>
    <w:rsid w:val="00B63F5C"/>
    <w:rPr>
      <w:sz w:val="20"/>
    </w:rPr>
  </w:style>
  <w:style w:type="character" w:customStyle="1" w:styleId="CommentTextChar">
    <w:name w:val="Comment Text Char"/>
    <w:basedOn w:val="DefaultParagraphFont"/>
    <w:link w:val="CommentText"/>
    <w:semiHidden/>
    <w:rsid w:val="00B63F5C"/>
    <w:rPr>
      <w:rFonts w:ascii="Arial" w:hAnsi="Arial"/>
      <w:lang w:eastAsia="en-US"/>
    </w:rPr>
  </w:style>
  <w:style w:type="paragraph" w:styleId="CommentSubject">
    <w:name w:val="annotation subject"/>
    <w:basedOn w:val="CommentText"/>
    <w:next w:val="CommentText"/>
    <w:link w:val="CommentSubjectChar"/>
    <w:semiHidden/>
    <w:unhideWhenUsed/>
    <w:rsid w:val="00B63F5C"/>
    <w:rPr>
      <w:b/>
      <w:bCs/>
    </w:rPr>
  </w:style>
  <w:style w:type="character" w:customStyle="1" w:styleId="CommentSubjectChar">
    <w:name w:val="Comment Subject Char"/>
    <w:basedOn w:val="CommentTextChar"/>
    <w:link w:val="CommentSubject"/>
    <w:semiHidden/>
    <w:rsid w:val="00B63F5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c151c9ae2c770eb7ae633d3039e13fb6">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c9e93067909a0b0d39e21384983688d8"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6A1FA-10DC-494B-AB47-BEF28EDE285C}">
  <ds:schemaRefs>
    <ds:schemaRef ds:uri="http://schemas.microsoft.com/sharepoint/v3/contenttype/forms"/>
  </ds:schemaRefs>
</ds:datastoreItem>
</file>

<file path=customXml/itemProps2.xml><?xml version="1.0" encoding="utf-8"?>
<ds:datastoreItem xmlns:ds="http://schemas.openxmlformats.org/officeDocument/2006/customXml" ds:itemID="{225776D2-8B30-4B0F-8C5C-CB9D2C716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DC6D4-B9D4-476B-A439-FF2403A18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1045</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6867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2007-07-12T09:53:00Z</cp:lastPrinted>
  <dcterms:created xsi:type="dcterms:W3CDTF">2021-01-15T10:15:00Z</dcterms:created>
  <dcterms:modified xsi:type="dcterms:W3CDTF">2021-01-15T10:15:00Z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